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366F" w14:textId="660B7501" w:rsidR="00B35FEF" w:rsidRPr="000D2221" w:rsidRDefault="00DE38A8" w:rsidP="004834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5FEF">
        <w:rPr>
          <w:rFonts w:ascii="Arial" w:hAnsi="Arial" w:cs="Arial"/>
          <w:b/>
          <w:bCs/>
          <w:sz w:val="24"/>
          <w:szCs w:val="24"/>
        </w:rPr>
        <w:t xml:space="preserve">Market </w:t>
      </w:r>
      <w:r w:rsidR="006E1F78" w:rsidRPr="00B35FEF">
        <w:rPr>
          <w:rFonts w:ascii="Arial" w:hAnsi="Arial" w:cs="Arial"/>
          <w:b/>
          <w:bCs/>
          <w:sz w:val="24"/>
          <w:szCs w:val="24"/>
        </w:rPr>
        <w:t>Rent Reduction</w:t>
      </w:r>
      <w:r w:rsidRPr="00B35FEF">
        <w:rPr>
          <w:rFonts w:ascii="Arial" w:hAnsi="Arial" w:cs="Arial"/>
          <w:b/>
          <w:bCs/>
          <w:sz w:val="24"/>
          <w:szCs w:val="24"/>
        </w:rPr>
        <w:t xml:space="preserve"> </w:t>
      </w:r>
      <w:r w:rsidR="006E1F78" w:rsidRPr="00B35FEF">
        <w:rPr>
          <w:rFonts w:ascii="Arial" w:hAnsi="Arial" w:cs="Arial"/>
          <w:b/>
          <w:bCs/>
          <w:sz w:val="24"/>
          <w:szCs w:val="24"/>
        </w:rPr>
        <w:t xml:space="preserve">Eligibility </w:t>
      </w:r>
      <w:r w:rsidR="002E28F2">
        <w:rPr>
          <w:rFonts w:ascii="Arial" w:hAnsi="Arial" w:cs="Arial"/>
          <w:b/>
          <w:bCs/>
          <w:sz w:val="24"/>
          <w:szCs w:val="24"/>
        </w:rPr>
        <w:t>Checklist</w:t>
      </w:r>
    </w:p>
    <w:p w14:paraId="09545C47" w14:textId="6FE67045" w:rsidR="00572DD3" w:rsidRDefault="006E1F78" w:rsidP="00C55AEF">
      <w:pPr>
        <w:rPr>
          <w:rFonts w:ascii="Arial" w:hAnsi="Arial" w:cs="Arial"/>
        </w:rPr>
      </w:pPr>
      <w:proofErr w:type="gramStart"/>
      <w:r w:rsidRPr="006E1F78">
        <w:rPr>
          <w:rFonts w:ascii="Arial" w:hAnsi="Arial" w:cs="Arial"/>
        </w:rPr>
        <w:t>In order to</w:t>
      </w:r>
      <w:proofErr w:type="gramEnd"/>
      <w:r w:rsidRPr="006E1F78">
        <w:rPr>
          <w:rFonts w:ascii="Arial" w:hAnsi="Arial" w:cs="Arial"/>
        </w:rPr>
        <w:t xml:space="preserve"> be eligible for rent reduction, organisations must satisfy all </w:t>
      </w:r>
      <w:r w:rsidR="00931C6C">
        <w:rPr>
          <w:rFonts w:ascii="Arial" w:hAnsi="Arial" w:cs="Arial"/>
        </w:rPr>
        <w:t xml:space="preserve">eligibility </w:t>
      </w:r>
      <w:r w:rsidRPr="006E1F78">
        <w:rPr>
          <w:rFonts w:ascii="Arial" w:hAnsi="Arial" w:cs="Arial"/>
        </w:rPr>
        <w:t>criteria</w:t>
      </w:r>
      <w:r w:rsidR="00931C6C">
        <w:rPr>
          <w:rFonts w:ascii="Arial" w:hAnsi="Arial" w:cs="Arial"/>
        </w:rPr>
        <w:t xml:space="preserve"> outlined in the </w:t>
      </w:r>
      <w:r w:rsidR="004E2E0A">
        <w:rPr>
          <w:rFonts w:ascii="Arial" w:hAnsi="Arial" w:cs="Arial"/>
        </w:rPr>
        <w:t>form</w:t>
      </w:r>
      <w:r w:rsidRPr="006E1F78">
        <w:rPr>
          <w:rFonts w:ascii="Arial" w:hAnsi="Arial" w:cs="Arial"/>
        </w:rPr>
        <w:t xml:space="preserve">. Please </w:t>
      </w:r>
      <w:r>
        <w:rPr>
          <w:rFonts w:ascii="Arial" w:hAnsi="Arial" w:cs="Arial"/>
        </w:rPr>
        <w:t>confirm you satisfy all criteri</w:t>
      </w:r>
      <w:r w:rsidR="004E2E0A">
        <w:rPr>
          <w:rFonts w:ascii="Arial" w:hAnsi="Arial" w:cs="Arial"/>
        </w:rPr>
        <w:t>a, providing</w:t>
      </w:r>
      <w:r>
        <w:rPr>
          <w:rFonts w:ascii="Arial" w:hAnsi="Arial" w:cs="Arial"/>
        </w:rPr>
        <w:t xml:space="preserve"> justification and evidence.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3F5DC2" w14:paraId="5A10BAFE" w14:textId="77777777" w:rsidTr="00483452">
        <w:tc>
          <w:tcPr>
            <w:tcW w:w="9351" w:type="dxa"/>
            <w:gridSpan w:val="2"/>
            <w:shd w:val="clear" w:color="auto" w:fill="D9E2F3" w:themeFill="accent1" w:themeFillTint="33"/>
          </w:tcPr>
          <w:p w14:paraId="3159B8BB" w14:textId="1F61B19D" w:rsidR="003F5DC2" w:rsidRPr="003F5DC2" w:rsidRDefault="0088005A" w:rsidP="008800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</w:t>
            </w:r>
          </w:p>
        </w:tc>
      </w:tr>
      <w:tr w:rsidR="003F5DC2" w14:paraId="3181508B" w14:textId="77777777" w:rsidTr="00483452">
        <w:tc>
          <w:tcPr>
            <w:tcW w:w="3256" w:type="dxa"/>
          </w:tcPr>
          <w:p w14:paraId="090F7BB7" w14:textId="77777777" w:rsidR="0088005A" w:rsidRDefault="003F5DC2" w:rsidP="00C55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</w:t>
            </w:r>
          </w:p>
          <w:p w14:paraId="32DFF04C" w14:textId="64A75FA5" w:rsidR="0088005A" w:rsidRDefault="0088005A" w:rsidP="00C55AE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4126F3F" w14:textId="77777777" w:rsidR="003F5DC2" w:rsidRDefault="003F5DC2" w:rsidP="00C55AEF">
            <w:pPr>
              <w:rPr>
                <w:rFonts w:ascii="Arial" w:hAnsi="Arial" w:cs="Arial"/>
              </w:rPr>
            </w:pPr>
          </w:p>
        </w:tc>
      </w:tr>
      <w:tr w:rsidR="003F5DC2" w14:paraId="653E2C55" w14:textId="77777777" w:rsidTr="00483452">
        <w:tc>
          <w:tcPr>
            <w:tcW w:w="3256" w:type="dxa"/>
          </w:tcPr>
          <w:p w14:paraId="7FFB4E6E" w14:textId="3209CC2F" w:rsidR="003F5DC2" w:rsidRDefault="003F5DC2" w:rsidP="00C55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organisation</w:t>
            </w:r>
          </w:p>
          <w:p w14:paraId="1EF09E49" w14:textId="77777777" w:rsidR="0088005A" w:rsidRDefault="0088005A" w:rsidP="00C55AEF">
            <w:pPr>
              <w:rPr>
                <w:rFonts w:ascii="Arial" w:hAnsi="Arial" w:cs="Arial"/>
              </w:rPr>
            </w:pPr>
          </w:p>
          <w:p w14:paraId="48FBBBB6" w14:textId="6C3CA7FD" w:rsidR="0088005A" w:rsidRDefault="0088005A" w:rsidP="00C55AE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C5D1F70" w14:textId="77777777" w:rsidR="003F5DC2" w:rsidRDefault="003F5DC2" w:rsidP="00C55AEF">
            <w:pPr>
              <w:rPr>
                <w:rFonts w:ascii="Arial" w:hAnsi="Arial" w:cs="Arial"/>
              </w:rPr>
            </w:pPr>
          </w:p>
        </w:tc>
      </w:tr>
      <w:tr w:rsidR="003F5DC2" w14:paraId="41705EE4" w14:textId="77777777" w:rsidTr="00483452">
        <w:tc>
          <w:tcPr>
            <w:tcW w:w="3256" w:type="dxa"/>
          </w:tcPr>
          <w:p w14:paraId="4D2ACE48" w14:textId="77777777" w:rsidR="003F5DC2" w:rsidRDefault="003F5DC2" w:rsidP="00C55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  <w:p w14:paraId="1D379ABD" w14:textId="0FF516E3" w:rsidR="0088005A" w:rsidRDefault="0088005A" w:rsidP="00C55AE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793800AD" w14:textId="77777777" w:rsidR="003F5DC2" w:rsidRDefault="003F5DC2" w:rsidP="00C55AEF">
            <w:pPr>
              <w:rPr>
                <w:rFonts w:ascii="Arial" w:hAnsi="Arial" w:cs="Arial"/>
              </w:rPr>
            </w:pPr>
          </w:p>
        </w:tc>
      </w:tr>
      <w:tr w:rsidR="003F5DC2" w14:paraId="6D27B446" w14:textId="77777777" w:rsidTr="00483452">
        <w:tc>
          <w:tcPr>
            <w:tcW w:w="3256" w:type="dxa"/>
          </w:tcPr>
          <w:p w14:paraId="45946E10" w14:textId="77777777" w:rsidR="003F5DC2" w:rsidRDefault="003F5DC2" w:rsidP="00C55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 address and phone number</w:t>
            </w:r>
          </w:p>
          <w:p w14:paraId="3EC1BE17" w14:textId="7E388874" w:rsidR="0088005A" w:rsidRDefault="0088005A" w:rsidP="00C55AEF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9A6556B" w14:textId="77777777" w:rsidR="003F5DC2" w:rsidRDefault="003F5DC2" w:rsidP="00C55AEF">
            <w:pPr>
              <w:rPr>
                <w:rFonts w:ascii="Arial" w:hAnsi="Arial" w:cs="Arial"/>
              </w:rPr>
            </w:pPr>
          </w:p>
        </w:tc>
      </w:tr>
    </w:tbl>
    <w:p w14:paraId="760DFF3E" w14:textId="77777777" w:rsidR="003F5DC2" w:rsidRPr="00B35FEF" w:rsidRDefault="003F5DC2" w:rsidP="00C55AEF">
      <w:pPr>
        <w:rPr>
          <w:rFonts w:ascii="Arial" w:hAnsi="Arial" w:cs="Arial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992"/>
        <w:gridCol w:w="3544"/>
      </w:tblGrid>
      <w:tr w:rsidR="006E1F78" w:rsidRPr="006E1F78" w14:paraId="0ACF6CEC" w14:textId="77777777" w:rsidTr="00483452">
        <w:tc>
          <w:tcPr>
            <w:tcW w:w="4820" w:type="dxa"/>
            <w:shd w:val="clear" w:color="auto" w:fill="D9E2F3" w:themeFill="accent1" w:themeFillTint="33"/>
          </w:tcPr>
          <w:p w14:paraId="6BA8A0CA" w14:textId="2E9F5757" w:rsidR="006E1F78" w:rsidRPr="006E1F78" w:rsidRDefault="006E1F78" w:rsidP="006E1F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1F78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F2D43A5" w14:textId="540FBE5F" w:rsidR="006E1F78" w:rsidRPr="006E1F78" w:rsidRDefault="006E1F78" w:rsidP="006E1F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1F78">
              <w:rPr>
                <w:rFonts w:ascii="Arial" w:hAnsi="Arial" w:cs="Arial"/>
                <w:b/>
                <w:bCs/>
                <w:sz w:val="24"/>
                <w:szCs w:val="24"/>
              </w:rPr>
              <w:t>Met? (Y/N)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688D7E6" w14:textId="1662A3C8" w:rsidR="006E1F78" w:rsidRPr="006E1F78" w:rsidRDefault="006E1F78" w:rsidP="006E1F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1F78">
              <w:rPr>
                <w:rFonts w:ascii="Arial" w:hAnsi="Arial" w:cs="Arial"/>
                <w:b/>
                <w:bCs/>
                <w:sz w:val="24"/>
                <w:szCs w:val="24"/>
              </w:rPr>
              <w:t>Evidence</w:t>
            </w:r>
          </w:p>
        </w:tc>
      </w:tr>
      <w:tr w:rsidR="006E1F78" w:rsidRPr="006E1F78" w14:paraId="4DCE53BD" w14:textId="77777777" w:rsidTr="00483452">
        <w:tc>
          <w:tcPr>
            <w:tcW w:w="4820" w:type="dxa"/>
          </w:tcPr>
          <w:p w14:paraId="488F6A2E" w14:textId="25AECCF6" w:rsidR="006E1F78" w:rsidRPr="000853B2" w:rsidRDefault="006E1F78" w:rsidP="000853B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853B2">
              <w:rPr>
                <w:rFonts w:ascii="Arial" w:hAnsi="Arial" w:cs="Arial"/>
              </w:rPr>
              <w:t>The organisation must be a registered Voluntary or Community organisation or charity</w:t>
            </w:r>
            <w:r w:rsidR="000A720D" w:rsidRPr="000853B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853B2">
              <w:rPr>
                <w:rFonts w:ascii="Arial" w:hAnsi="Arial" w:cs="Arial"/>
              </w:rPr>
              <w:t>who’s</w:t>
            </w:r>
            <w:proofErr w:type="spellEnd"/>
            <w:proofErr w:type="gramEnd"/>
            <w:r w:rsidRPr="000853B2">
              <w:rPr>
                <w:rFonts w:ascii="Arial" w:hAnsi="Arial" w:cs="Arial"/>
              </w:rPr>
              <w:t xml:space="preserve"> work has a direct positive impact on Brent residents and the local area. This may include</w:t>
            </w:r>
            <w:r w:rsidR="00C81D66" w:rsidRPr="000853B2">
              <w:rPr>
                <w:rFonts w:ascii="Arial" w:hAnsi="Arial" w:cs="Arial"/>
              </w:rPr>
              <w:t xml:space="preserve"> (not an exhaustive list)</w:t>
            </w:r>
            <w:r w:rsidRPr="000853B2">
              <w:rPr>
                <w:rFonts w:ascii="Arial" w:hAnsi="Arial" w:cs="Arial"/>
              </w:rPr>
              <w:t>:</w:t>
            </w:r>
          </w:p>
          <w:p w14:paraId="546A1A4D" w14:textId="77777777" w:rsidR="000A720D" w:rsidRPr="006E1F78" w:rsidRDefault="000A720D" w:rsidP="000A720D">
            <w:pPr>
              <w:pStyle w:val="ListParagraph"/>
              <w:rPr>
                <w:rFonts w:ascii="Arial" w:hAnsi="Arial" w:cs="Arial"/>
              </w:rPr>
            </w:pPr>
          </w:p>
          <w:p w14:paraId="26E9DF7B" w14:textId="77777777" w:rsidR="006E1F78" w:rsidRPr="006E1F78" w:rsidRDefault="006E1F78" w:rsidP="00C81D6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Registered charities</w:t>
            </w:r>
          </w:p>
          <w:p w14:paraId="5E0716F6" w14:textId="77777777" w:rsidR="006E1F78" w:rsidRPr="006E1F78" w:rsidRDefault="006E1F78" w:rsidP="00C81D6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Community groups</w:t>
            </w:r>
          </w:p>
          <w:p w14:paraId="1F0588B3" w14:textId="77777777" w:rsidR="006E1F78" w:rsidRPr="006E1F78" w:rsidRDefault="006E1F78" w:rsidP="00C81D6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Co-operatives</w:t>
            </w:r>
          </w:p>
          <w:p w14:paraId="35724A9C" w14:textId="77777777" w:rsidR="006E1F78" w:rsidRPr="006E1F78" w:rsidRDefault="006E1F78" w:rsidP="00C81D6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Community Interest Companies</w:t>
            </w:r>
          </w:p>
          <w:p w14:paraId="7B3EC59A" w14:textId="41F0296E" w:rsidR="006E1F78" w:rsidRDefault="006E1F78" w:rsidP="00C81D6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Social enterprises</w:t>
            </w:r>
          </w:p>
          <w:p w14:paraId="42A731C0" w14:textId="5CD5C656" w:rsidR="00C81D66" w:rsidRPr="000853B2" w:rsidRDefault="00BF4BD8" w:rsidP="000853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 company (that can demonstrate voluntary sector activity)</w:t>
            </w:r>
          </w:p>
          <w:p w14:paraId="708D3319" w14:textId="7E72D1E1" w:rsidR="00C81D66" w:rsidRPr="00C81D66" w:rsidRDefault="00C21906" w:rsidP="00C81D66">
            <w:pPr>
              <w:numPr>
                <w:ilvl w:val="0"/>
                <w:numId w:val="10"/>
              </w:numPr>
              <w:textAlignment w:val="center"/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lang w:eastAsia="en-GB"/>
                <w14:ligatures w14:val="none"/>
              </w:rPr>
              <w:t>C</w:t>
            </w:r>
            <w:r w:rsidR="00C81D66">
              <w:rPr>
                <w:rFonts w:ascii="Arial" w:eastAsia="Times New Roman" w:hAnsi="Arial" w:cs="Arial"/>
                <w:lang w:eastAsia="en-GB"/>
                <w14:ligatures w14:val="none"/>
              </w:rPr>
              <w:t xml:space="preserve">haritable incorporated organisation (CIO) </w:t>
            </w:r>
          </w:p>
          <w:p w14:paraId="1654F31D" w14:textId="77777777" w:rsidR="006E1F78" w:rsidRDefault="006E1F78" w:rsidP="006E1F78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77B80E6E" w14:textId="56121018" w:rsidR="00FD7EBE" w:rsidRPr="003F5DC2" w:rsidRDefault="0064033C" w:rsidP="006E1F78">
            <w:pPr>
              <w:pStyle w:val="ListParagraph"/>
              <w:rPr>
                <w:rFonts w:ascii="Arial" w:hAnsi="Arial" w:cs="Arial"/>
              </w:rPr>
            </w:pPr>
            <w:r w:rsidRPr="003F5DC2">
              <w:rPr>
                <w:rFonts w:ascii="Arial" w:hAnsi="Arial" w:cs="Arial"/>
              </w:rPr>
              <w:t xml:space="preserve">For consortium bids, organisations </w:t>
            </w:r>
            <w:r w:rsidR="00A266C5">
              <w:rPr>
                <w:rFonts w:ascii="Arial" w:hAnsi="Arial" w:cs="Arial"/>
              </w:rPr>
              <w:t>are</w:t>
            </w:r>
            <w:r w:rsidR="00DA6CCB" w:rsidRPr="003F5DC2">
              <w:rPr>
                <w:rFonts w:ascii="Arial" w:hAnsi="Arial" w:cs="Arial"/>
              </w:rPr>
              <w:t xml:space="preserve"> required</w:t>
            </w:r>
            <w:r w:rsidR="000B6350" w:rsidRPr="003F5DC2">
              <w:rPr>
                <w:rFonts w:ascii="Arial" w:hAnsi="Arial" w:cs="Arial"/>
              </w:rPr>
              <w:t xml:space="preserve"> </w:t>
            </w:r>
            <w:r w:rsidR="00DA6CCB" w:rsidRPr="003F5DC2">
              <w:rPr>
                <w:rFonts w:ascii="Arial" w:hAnsi="Arial" w:cs="Arial"/>
              </w:rPr>
              <w:t>to form a single entity.</w:t>
            </w:r>
            <w:r w:rsidR="00CD47C6" w:rsidRPr="003F5DC2">
              <w:rPr>
                <w:rFonts w:ascii="Arial" w:hAnsi="Arial" w:cs="Arial"/>
              </w:rPr>
              <w:t xml:space="preserve"> </w:t>
            </w:r>
            <w:r w:rsidR="00641753" w:rsidRPr="003F5DC2">
              <w:rPr>
                <w:rFonts w:ascii="Arial" w:hAnsi="Arial" w:cs="Arial"/>
              </w:rPr>
              <w:t xml:space="preserve"> </w:t>
            </w:r>
          </w:p>
          <w:p w14:paraId="52924F75" w14:textId="2159B358" w:rsidR="003F5DC2" w:rsidRPr="006E1F78" w:rsidRDefault="003F5DC2" w:rsidP="006E1F78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0ADF563" w14:textId="77777777" w:rsid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  <w:p w14:paraId="51FF1E69" w14:textId="77777777" w:rsidR="00483452" w:rsidRPr="006E1F78" w:rsidRDefault="00483452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433E72FE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1F78" w:rsidRPr="006E1F78" w14:paraId="529A709A" w14:textId="77777777" w:rsidTr="00483452">
        <w:tc>
          <w:tcPr>
            <w:tcW w:w="4820" w:type="dxa"/>
          </w:tcPr>
          <w:p w14:paraId="42F14205" w14:textId="77777777" w:rsidR="006E1F78" w:rsidRPr="003F5DC2" w:rsidRDefault="006E1F78" w:rsidP="006E1F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6E1F78">
              <w:rPr>
                <w:rFonts w:ascii="Arial" w:hAnsi="Arial" w:cs="Arial"/>
              </w:rPr>
              <w:t>The organisation must be able to sustainably, safely and legally manage a building within the terms of the lease and statutory responsibilities</w:t>
            </w:r>
            <w:r w:rsidR="003F5DC2">
              <w:rPr>
                <w:rFonts w:ascii="Arial" w:hAnsi="Arial" w:cs="Arial"/>
              </w:rPr>
              <w:t>.</w:t>
            </w:r>
          </w:p>
          <w:p w14:paraId="7F6F4EDA" w14:textId="2B991301" w:rsidR="003F5DC2" w:rsidRPr="006E1F78" w:rsidRDefault="003F5DC2" w:rsidP="003F5DC2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2838DE5" w14:textId="77777777" w:rsid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  <w:p w14:paraId="6C30EF30" w14:textId="77777777" w:rsidR="00483452" w:rsidRPr="006E1F78" w:rsidRDefault="00483452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2C54F727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1F78" w:rsidRPr="006E1F78" w14:paraId="41AB7D0B" w14:textId="77777777" w:rsidTr="00483452">
        <w:tc>
          <w:tcPr>
            <w:tcW w:w="4820" w:type="dxa"/>
          </w:tcPr>
          <w:p w14:paraId="4C75D61F" w14:textId="3D2761C2" w:rsidR="006E1F78" w:rsidRPr="006E1F78" w:rsidRDefault="006E1F78" w:rsidP="006E1F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The organisation must demonstrate good governance and have a fully operational management committee.</w:t>
            </w:r>
          </w:p>
          <w:p w14:paraId="09DEB132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25ACD9A" w14:textId="77777777" w:rsid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  <w:p w14:paraId="3F407832" w14:textId="77777777" w:rsidR="00483452" w:rsidRPr="006E1F78" w:rsidRDefault="00483452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274FF660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1F78" w:rsidRPr="006E1F78" w14:paraId="6242F8D9" w14:textId="77777777" w:rsidTr="00483452">
        <w:tc>
          <w:tcPr>
            <w:tcW w:w="4820" w:type="dxa"/>
          </w:tcPr>
          <w:p w14:paraId="3A1C67E1" w14:textId="77777777" w:rsidR="006E1F78" w:rsidRPr="006E1F78" w:rsidRDefault="006E1F78" w:rsidP="006E1F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E1F78">
              <w:rPr>
                <w:rFonts w:ascii="Arial" w:hAnsi="Arial" w:cs="Arial"/>
              </w:rPr>
              <w:t>The organisation must demonstrate that it is able to pay rent and costs associated with the management and use of the building.</w:t>
            </w:r>
          </w:p>
          <w:p w14:paraId="6AE8E35D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237FC9F" w14:textId="77777777" w:rsid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  <w:p w14:paraId="036754DC" w14:textId="77777777" w:rsidR="00483452" w:rsidRPr="006E1F78" w:rsidRDefault="00483452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2E2F28F5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1F78" w:rsidRPr="006E1F78" w14:paraId="10D3447C" w14:textId="77777777" w:rsidTr="00483452">
        <w:tc>
          <w:tcPr>
            <w:tcW w:w="4820" w:type="dxa"/>
          </w:tcPr>
          <w:p w14:paraId="29B69F3F" w14:textId="0C3E4518" w:rsidR="006E1F78" w:rsidRDefault="0092432C" w:rsidP="0092432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58EB">
              <w:rPr>
                <w:rFonts w:ascii="Arial" w:hAnsi="Arial" w:cs="Arial"/>
              </w:rPr>
              <w:lastRenderedPageBreak/>
              <w:t>Organisations must review the General Guidance and complete</w:t>
            </w:r>
            <w:r w:rsidR="009358EB" w:rsidRPr="009358EB">
              <w:rPr>
                <w:rFonts w:ascii="Arial" w:hAnsi="Arial" w:cs="Arial"/>
              </w:rPr>
              <w:t xml:space="preserve"> all elements of</w:t>
            </w:r>
            <w:r w:rsidRPr="009358EB">
              <w:rPr>
                <w:rFonts w:ascii="Arial" w:hAnsi="Arial" w:cs="Arial"/>
              </w:rPr>
              <w:t xml:space="preserve"> the </w:t>
            </w:r>
            <w:r w:rsidR="009358EB" w:rsidRPr="009358EB">
              <w:rPr>
                <w:rFonts w:ascii="Arial" w:hAnsi="Arial" w:cs="Arial"/>
              </w:rPr>
              <w:t>Response Sheet</w:t>
            </w:r>
            <w:r w:rsidR="00880AC6">
              <w:rPr>
                <w:rFonts w:ascii="Arial" w:hAnsi="Arial" w:cs="Arial"/>
              </w:rPr>
              <w:t xml:space="preserve"> (Questions 1 – 5).</w:t>
            </w:r>
          </w:p>
          <w:p w14:paraId="3E517F5D" w14:textId="13BCC016" w:rsidR="003F5DC2" w:rsidRPr="009358EB" w:rsidRDefault="003F5DC2" w:rsidP="003F5DC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1B25462" w14:textId="77777777" w:rsid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  <w:p w14:paraId="578FE727" w14:textId="77777777" w:rsidR="00483452" w:rsidRPr="006E1F78" w:rsidRDefault="00483452" w:rsidP="00C55A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</w:tcPr>
          <w:p w14:paraId="46A3B13D" w14:textId="77777777" w:rsidR="006E1F78" w:rsidRPr="006E1F78" w:rsidRDefault="006E1F78" w:rsidP="00C55AE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11CD91" w14:textId="2489B602" w:rsidR="00B35FEF" w:rsidRPr="00B35FEF" w:rsidRDefault="00B35FEF" w:rsidP="00B35FEF">
      <w:pPr>
        <w:tabs>
          <w:tab w:val="left" w:pos="2310"/>
        </w:tabs>
      </w:pPr>
    </w:p>
    <w:sectPr w:rsidR="00B35FEF" w:rsidRPr="00B35FEF" w:rsidSect="00483452">
      <w:headerReference w:type="default" r:id="rId7"/>
      <w:footerReference w:type="default" r:id="rId8"/>
      <w:pgSz w:w="11906" w:h="16838"/>
      <w:pgMar w:top="1440" w:right="849" w:bottom="993" w:left="144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8A05" w14:textId="77777777" w:rsidR="00947517" w:rsidRDefault="00947517" w:rsidP="00DE38A8">
      <w:pPr>
        <w:spacing w:after="0" w:line="240" w:lineRule="auto"/>
      </w:pPr>
      <w:r>
        <w:separator/>
      </w:r>
    </w:p>
  </w:endnote>
  <w:endnote w:type="continuationSeparator" w:id="0">
    <w:p w14:paraId="4E8381C4" w14:textId="77777777" w:rsidR="00947517" w:rsidRDefault="00947517" w:rsidP="00DE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DD0D" w14:textId="4E4B9F5C" w:rsidR="003B2A47" w:rsidRPr="00F32EC5" w:rsidRDefault="00F32EC5" w:rsidP="00F32EC5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r w:rsidR="003B2A47" w:rsidRPr="00F32EC5">
      <w:rPr>
        <w:rFonts w:ascii="Arial" w:hAnsi="Arial" w:cs="Arial"/>
        <w:sz w:val="20"/>
        <w:szCs w:val="20"/>
      </w:rPr>
      <w:t xml:space="preserve">This framework is currently being trialled and applies to select </w:t>
    </w:r>
    <w:r w:rsidR="001665FE">
      <w:rPr>
        <w:rFonts w:ascii="Arial" w:hAnsi="Arial" w:cs="Arial"/>
        <w:sz w:val="20"/>
        <w:szCs w:val="20"/>
      </w:rPr>
      <w:t xml:space="preserve">new </w:t>
    </w:r>
    <w:r w:rsidR="003B2A47" w:rsidRPr="00F32EC5">
      <w:rPr>
        <w:rFonts w:ascii="Arial" w:hAnsi="Arial" w:cs="Arial"/>
        <w:sz w:val="20"/>
        <w:szCs w:val="20"/>
      </w:rPr>
      <w:t xml:space="preserve">lettings only. </w:t>
    </w:r>
    <w:r w:rsidR="003B5CD8" w:rsidRPr="00F32EC5">
      <w:rPr>
        <w:rFonts w:ascii="Arial" w:hAnsi="Arial" w:cs="Arial"/>
        <w:sz w:val="20"/>
        <w:szCs w:val="20"/>
      </w:rPr>
      <w:t xml:space="preserve">This </w:t>
    </w:r>
    <w:r w:rsidR="00976B48" w:rsidRPr="00F32EC5">
      <w:rPr>
        <w:rFonts w:ascii="Arial" w:hAnsi="Arial" w:cs="Arial"/>
        <w:sz w:val="20"/>
        <w:szCs w:val="20"/>
      </w:rPr>
      <w:t>document</w:t>
    </w:r>
    <w:r w:rsidR="003B5CD8" w:rsidRPr="00F32EC5">
      <w:rPr>
        <w:rFonts w:ascii="Arial" w:hAnsi="Arial" w:cs="Arial"/>
        <w:sz w:val="20"/>
        <w:szCs w:val="20"/>
      </w:rPr>
      <w:t xml:space="preserve"> relates to </w:t>
    </w:r>
    <w:r w:rsidR="00483452" w:rsidRPr="00F32EC5">
      <w:rPr>
        <w:rFonts w:ascii="Arial" w:hAnsi="Arial" w:cs="Arial"/>
        <w:sz w:val="20"/>
        <w:szCs w:val="20"/>
      </w:rPr>
      <w:t>the community space at Roy Smith House, 71 Hillside, NW10 8LN</w:t>
    </w:r>
    <w:r w:rsidR="00E6418F">
      <w:rPr>
        <w:rFonts w:ascii="Arial" w:hAnsi="Arial" w:cs="Arial"/>
        <w:sz w:val="20"/>
        <w:szCs w:val="20"/>
      </w:rPr>
      <w:t>,</w:t>
    </w:r>
    <w:r w:rsidR="00D34F96" w:rsidRPr="00D34F96">
      <w:rPr>
        <w:rFonts w:ascii="Arial" w:hAnsi="Arial" w:cs="Arial"/>
        <w:sz w:val="20"/>
        <w:szCs w:val="20"/>
      </w:rPr>
      <w:t xml:space="preserve"> Picture Palace, 26 Manor Park Road, Harlesden, London, NW10 4JJ</w:t>
    </w:r>
    <w:r w:rsidR="00E6418F">
      <w:rPr>
        <w:rFonts w:ascii="Arial" w:hAnsi="Arial" w:cs="Arial"/>
        <w:sz w:val="20"/>
        <w:szCs w:val="20"/>
      </w:rPr>
      <w:t xml:space="preserve"> and </w:t>
    </w:r>
    <w:r w:rsidR="00BE249C">
      <w:rPr>
        <w:rFonts w:ascii="Arial" w:hAnsi="Arial" w:cs="Arial"/>
        <w:sz w:val="20"/>
        <w:szCs w:val="20"/>
      </w:rPr>
      <w:t>t</w:t>
    </w:r>
    <w:r w:rsidR="00E6418F">
      <w:rPr>
        <w:rFonts w:ascii="Arial" w:hAnsi="Arial" w:cs="Arial"/>
        <w:sz w:val="20"/>
        <w:szCs w:val="20"/>
      </w:rPr>
      <w:t xml:space="preserve">he kitchen, serving and dining area at Brent Civic Centre, </w:t>
    </w:r>
    <w:r w:rsidR="00E6418F" w:rsidRPr="00E6418F">
      <w:rPr>
        <w:rFonts w:ascii="Arial" w:hAnsi="Arial" w:cs="Arial"/>
        <w:sz w:val="20"/>
        <w:szCs w:val="20"/>
      </w:rPr>
      <w:t>HA9 0FJ</w:t>
    </w:r>
  </w:p>
  <w:p w14:paraId="1A4AE0C4" w14:textId="77777777" w:rsidR="003B2A47" w:rsidRDefault="003B2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26EA" w14:textId="77777777" w:rsidR="00947517" w:rsidRDefault="00947517" w:rsidP="00DE38A8">
      <w:pPr>
        <w:spacing w:after="0" w:line="240" w:lineRule="auto"/>
      </w:pPr>
      <w:r>
        <w:separator/>
      </w:r>
    </w:p>
  </w:footnote>
  <w:footnote w:type="continuationSeparator" w:id="0">
    <w:p w14:paraId="6D83BC78" w14:textId="77777777" w:rsidR="00947517" w:rsidRDefault="00947517" w:rsidP="00DE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59D9" w14:textId="266D3737" w:rsidR="00A539CD" w:rsidRDefault="00A539CD" w:rsidP="00A539CD">
    <w:pPr>
      <w:pStyle w:val="Header"/>
      <w:jc w:val="both"/>
    </w:pPr>
    <w:r>
      <w:t xml:space="preserve">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6D14DF4" wp14:editId="2D043CE9">
          <wp:extent cx="1190080" cy="462809"/>
          <wp:effectExtent l="0" t="0" r="0" b="0"/>
          <wp:docPr id="971636307" name="Picture 1" descr="Br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636307" name="Picture 1" descr="Br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823" cy="482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ABE"/>
    <w:multiLevelType w:val="hybridMultilevel"/>
    <w:tmpl w:val="B5F6243E"/>
    <w:lvl w:ilvl="0" w:tplc="82F42D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12D"/>
    <w:multiLevelType w:val="hybridMultilevel"/>
    <w:tmpl w:val="6DEA3A54"/>
    <w:lvl w:ilvl="0" w:tplc="05A4BC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0609"/>
    <w:multiLevelType w:val="hybridMultilevel"/>
    <w:tmpl w:val="4E4A0682"/>
    <w:lvl w:ilvl="0" w:tplc="ECD07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319"/>
    <w:multiLevelType w:val="hybridMultilevel"/>
    <w:tmpl w:val="52C85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1697"/>
    <w:multiLevelType w:val="hybridMultilevel"/>
    <w:tmpl w:val="86A880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B110F0"/>
    <w:multiLevelType w:val="hybridMultilevel"/>
    <w:tmpl w:val="CEDA2AC2"/>
    <w:lvl w:ilvl="0" w:tplc="37C25A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657A"/>
    <w:multiLevelType w:val="multilevel"/>
    <w:tmpl w:val="8F4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493649"/>
    <w:multiLevelType w:val="hybridMultilevel"/>
    <w:tmpl w:val="B8C26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566C7"/>
    <w:multiLevelType w:val="hybridMultilevel"/>
    <w:tmpl w:val="4E4C080C"/>
    <w:lvl w:ilvl="0" w:tplc="E1B808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C74FA"/>
    <w:multiLevelType w:val="hybridMultilevel"/>
    <w:tmpl w:val="DEE0B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201EA0"/>
    <w:multiLevelType w:val="hybridMultilevel"/>
    <w:tmpl w:val="C21AE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21C66"/>
    <w:multiLevelType w:val="hybridMultilevel"/>
    <w:tmpl w:val="7C7C1F78"/>
    <w:lvl w:ilvl="0" w:tplc="1A801A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A4BE2"/>
    <w:multiLevelType w:val="hybridMultilevel"/>
    <w:tmpl w:val="3A2861F2"/>
    <w:lvl w:ilvl="0" w:tplc="11B23C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E0920"/>
    <w:multiLevelType w:val="hybridMultilevel"/>
    <w:tmpl w:val="7D1E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C4AF8"/>
    <w:multiLevelType w:val="multilevel"/>
    <w:tmpl w:val="967A41EE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800"/>
      </w:pPr>
      <w:rPr>
        <w:rFonts w:hint="default"/>
      </w:rPr>
    </w:lvl>
  </w:abstractNum>
  <w:abstractNum w:abstractNumId="15" w15:restartNumberingAfterBreak="0">
    <w:nsid w:val="7D3A648D"/>
    <w:multiLevelType w:val="hybridMultilevel"/>
    <w:tmpl w:val="BB90225A"/>
    <w:lvl w:ilvl="0" w:tplc="210406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341527">
    <w:abstractNumId w:val="3"/>
  </w:num>
  <w:num w:numId="2" w16cid:durableId="1126510048">
    <w:abstractNumId w:val="5"/>
  </w:num>
  <w:num w:numId="3" w16cid:durableId="1344740346">
    <w:abstractNumId w:val="11"/>
  </w:num>
  <w:num w:numId="4" w16cid:durableId="1768035221">
    <w:abstractNumId w:val="8"/>
  </w:num>
  <w:num w:numId="5" w16cid:durableId="1069112321">
    <w:abstractNumId w:val="1"/>
  </w:num>
  <w:num w:numId="6" w16cid:durableId="674962013">
    <w:abstractNumId w:val="15"/>
  </w:num>
  <w:num w:numId="7" w16cid:durableId="1551531693">
    <w:abstractNumId w:val="2"/>
  </w:num>
  <w:num w:numId="8" w16cid:durableId="1077094733">
    <w:abstractNumId w:val="9"/>
  </w:num>
  <w:num w:numId="9" w16cid:durableId="119154033">
    <w:abstractNumId w:val="4"/>
  </w:num>
  <w:num w:numId="10" w16cid:durableId="1218779506">
    <w:abstractNumId w:val="13"/>
  </w:num>
  <w:num w:numId="11" w16cid:durableId="1601839929">
    <w:abstractNumId w:val="14"/>
  </w:num>
  <w:num w:numId="12" w16cid:durableId="556206879">
    <w:abstractNumId w:val="10"/>
  </w:num>
  <w:num w:numId="13" w16cid:durableId="427695126">
    <w:abstractNumId w:val="0"/>
  </w:num>
  <w:num w:numId="14" w16cid:durableId="1737821851">
    <w:abstractNumId w:val="12"/>
  </w:num>
  <w:num w:numId="15" w16cid:durableId="1403287879">
    <w:abstractNumId w:val="6"/>
  </w:num>
  <w:num w:numId="16" w16cid:durableId="1136332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EF"/>
    <w:rsid w:val="00004511"/>
    <w:rsid w:val="00017E45"/>
    <w:rsid w:val="000853B2"/>
    <w:rsid w:val="000A720D"/>
    <w:rsid w:val="000B6350"/>
    <w:rsid w:val="000D2221"/>
    <w:rsid w:val="000F5FFD"/>
    <w:rsid w:val="001665FE"/>
    <w:rsid w:val="00270A34"/>
    <w:rsid w:val="002E28F2"/>
    <w:rsid w:val="00370A89"/>
    <w:rsid w:val="00373928"/>
    <w:rsid w:val="003B2A47"/>
    <w:rsid w:val="003B5CD8"/>
    <w:rsid w:val="003F5DC2"/>
    <w:rsid w:val="00432103"/>
    <w:rsid w:val="00465388"/>
    <w:rsid w:val="004808A9"/>
    <w:rsid w:val="00483452"/>
    <w:rsid w:val="004E2E0A"/>
    <w:rsid w:val="004F771D"/>
    <w:rsid w:val="00572DD3"/>
    <w:rsid w:val="005B4491"/>
    <w:rsid w:val="005C57EA"/>
    <w:rsid w:val="0060264F"/>
    <w:rsid w:val="0064033C"/>
    <w:rsid w:val="00641753"/>
    <w:rsid w:val="00664AD8"/>
    <w:rsid w:val="006E1F78"/>
    <w:rsid w:val="006F660A"/>
    <w:rsid w:val="00714613"/>
    <w:rsid w:val="007441D6"/>
    <w:rsid w:val="007846CC"/>
    <w:rsid w:val="007A1F85"/>
    <w:rsid w:val="007A78FE"/>
    <w:rsid w:val="0088005A"/>
    <w:rsid w:val="00880AC6"/>
    <w:rsid w:val="008E59E4"/>
    <w:rsid w:val="008F1767"/>
    <w:rsid w:val="0092432C"/>
    <w:rsid w:val="00931C6C"/>
    <w:rsid w:val="009358EB"/>
    <w:rsid w:val="00947517"/>
    <w:rsid w:val="00962D8B"/>
    <w:rsid w:val="00976B48"/>
    <w:rsid w:val="00A266C5"/>
    <w:rsid w:val="00A539CD"/>
    <w:rsid w:val="00A75F96"/>
    <w:rsid w:val="00B35FEF"/>
    <w:rsid w:val="00BD746D"/>
    <w:rsid w:val="00BE249C"/>
    <w:rsid w:val="00BF4BD8"/>
    <w:rsid w:val="00C148CD"/>
    <w:rsid w:val="00C20496"/>
    <w:rsid w:val="00C21906"/>
    <w:rsid w:val="00C346AE"/>
    <w:rsid w:val="00C55AEF"/>
    <w:rsid w:val="00C81D66"/>
    <w:rsid w:val="00C84A5D"/>
    <w:rsid w:val="00CA58E3"/>
    <w:rsid w:val="00CA745A"/>
    <w:rsid w:val="00CC025B"/>
    <w:rsid w:val="00CD47C6"/>
    <w:rsid w:val="00D34F96"/>
    <w:rsid w:val="00D354E9"/>
    <w:rsid w:val="00DA6CCB"/>
    <w:rsid w:val="00DE38A8"/>
    <w:rsid w:val="00E314B6"/>
    <w:rsid w:val="00E44B56"/>
    <w:rsid w:val="00E6418F"/>
    <w:rsid w:val="00F26742"/>
    <w:rsid w:val="00F32EC5"/>
    <w:rsid w:val="00F514C3"/>
    <w:rsid w:val="00F55A80"/>
    <w:rsid w:val="00F70F90"/>
    <w:rsid w:val="00FD7EBE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F6F7B"/>
  <w15:chartTrackingRefBased/>
  <w15:docId w15:val="{730AD909-53A1-416F-BED8-9C93CD9B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EF"/>
    <w:pPr>
      <w:ind w:left="720"/>
      <w:contextualSpacing/>
    </w:pPr>
  </w:style>
  <w:style w:type="table" w:styleId="TableGrid">
    <w:name w:val="Table Grid"/>
    <w:basedOn w:val="TableNormal"/>
    <w:uiPriority w:val="39"/>
    <w:rsid w:val="00C5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1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4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3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A8"/>
  </w:style>
  <w:style w:type="paragraph" w:styleId="Footer">
    <w:name w:val="footer"/>
    <w:basedOn w:val="Normal"/>
    <w:link w:val="FooterChar"/>
    <w:uiPriority w:val="99"/>
    <w:unhideWhenUsed/>
    <w:rsid w:val="00DE3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Portalska, Marta</dc:creator>
  <cp:keywords/>
  <dc:description/>
  <cp:lastModifiedBy>Pigniczki, Andrea</cp:lastModifiedBy>
  <cp:revision>5</cp:revision>
  <dcterms:created xsi:type="dcterms:W3CDTF">2025-01-21T12:31:00Z</dcterms:created>
  <dcterms:modified xsi:type="dcterms:W3CDTF">2025-02-14T09:49:00Z</dcterms:modified>
</cp:coreProperties>
</file>