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6619" w14:textId="03758161" w:rsidR="008500DA" w:rsidRDefault="008500DA" w:rsidP="001670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500DA">
        <w:rPr>
          <w:rFonts w:ascii="Arial" w:hAnsi="Arial" w:cs="Arial"/>
          <w:b/>
          <w:bCs/>
          <w:sz w:val="24"/>
          <w:szCs w:val="24"/>
        </w:rPr>
        <w:t>Market Rent Reduction</w:t>
      </w:r>
      <w:r w:rsidR="00F032BA">
        <w:rPr>
          <w:rFonts w:ascii="Arial" w:hAnsi="Arial" w:cs="Arial"/>
          <w:b/>
          <w:bCs/>
          <w:sz w:val="24"/>
          <w:szCs w:val="24"/>
        </w:rPr>
        <w:t xml:space="preserve"> </w:t>
      </w:r>
      <w:r w:rsidR="00F30432">
        <w:rPr>
          <w:rFonts w:ascii="Arial" w:hAnsi="Arial" w:cs="Arial"/>
          <w:b/>
          <w:bCs/>
          <w:sz w:val="24"/>
          <w:szCs w:val="24"/>
        </w:rPr>
        <w:t>Guidance</w:t>
      </w:r>
    </w:p>
    <w:p w14:paraId="3803B5AB" w14:textId="77777777" w:rsidR="001670EE" w:rsidRPr="001670EE" w:rsidRDefault="001670EE" w:rsidP="001670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3FDB77" w14:textId="522F4395" w:rsidR="008500DA" w:rsidRDefault="008500DA" w:rsidP="001670EE">
      <w:pPr>
        <w:pStyle w:val="ListParagraph"/>
        <w:numPr>
          <w:ilvl w:val="1"/>
          <w:numId w:val="4"/>
        </w:numPr>
        <w:ind w:right="-472"/>
        <w:rPr>
          <w:rFonts w:ascii="Arial" w:hAnsi="Arial" w:cs="Arial"/>
        </w:rPr>
      </w:pPr>
      <w:r w:rsidRPr="008500DA">
        <w:rPr>
          <w:rFonts w:ascii="Arial" w:hAnsi="Arial" w:cs="Arial"/>
        </w:rPr>
        <w:t xml:space="preserve">This document outlines a ‘Market Rent Reduction’ </w:t>
      </w:r>
      <w:r w:rsidR="001670EE">
        <w:rPr>
          <w:rFonts w:ascii="Arial" w:hAnsi="Arial" w:cs="Arial"/>
        </w:rPr>
        <w:t>framework</w:t>
      </w:r>
      <w:r w:rsidRPr="008500DA">
        <w:rPr>
          <w:rFonts w:ascii="Arial" w:hAnsi="Arial" w:cs="Arial"/>
        </w:rPr>
        <w:t xml:space="preserve"> for </w:t>
      </w:r>
      <w:r w:rsidR="00CE343F">
        <w:rPr>
          <w:rFonts w:ascii="Arial" w:hAnsi="Arial" w:cs="Arial"/>
        </w:rPr>
        <w:t xml:space="preserve">select </w:t>
      </w:r>
      <w:r w:rsidRPr="008500DA">
        <w:rPr>
          <w:rFonts w:ascii="Arial" w:hAnsi="Arial" w:cs="Arial"/>
        </w:rPr>
        <w:t xml:space="preserve">new lettings, </w:t>
      </w:r>
      <w:bookmarkStart w:id="0" w:name="_Hlk183090014"/>
      <w:r w:rsidRPr="008500DA">
        <w:rPr>
          <w:rFonts w:ascii="Arial" w:hAnsi="Arial" w:cs="Arial"/>
        </w:rPr>
        <w:t xml:space="preserve">through which Brent Voluntary and Community Sector (VCS) organisations wishing to </w:t>
      </w:r>
      <w:r w:rsidR="00CD272A">
        <w:rPr>
          <w:rFonts w:ascii="Arial" w:hAnsi="Arial" w:cs="Arial"/>
        </w:rPr>
        <w:t>lease</w:t>
      </w:r>
      <w:r w:rsidRPr="008500DA">
        <w:rPr>
          <w:rFonts w:ascii="Arial" w:hAnsi="Arial" w:cs="Arial"/>
        </w:rPr>
        <w:t xml:space="preserve"> Brent Council premises may be eligible for reduced rent rates reflecting the value th</w:t>
      </w:r>
      <w:r w:rsidR="00CD272A">
        <w:rPr>
          <w:rFonts w:ascii="Arial" w:hAnsi="Arial" w:cs="Arial"/>
        </w:rPr>
        <w:t>e proposed</w:t>
      </w:r>
      <w:r w:rsidRPr="008500DA">
        <w:rPr>
          <w:rFonts w:ascii="Arial" w:hAnsi="Arial" w:cs="Arial"/>
        </w:rPr>
        <w:t xml:space="preserve"> use of the premises may bring to the </w:t>
      </w:r>
      <w:r w:rsidR="00100EFD">
        <w:rPr>
          <w:rFonts w:ascii="Arial" w:hAnsi="Arial" w:cs="Arial"/>
        </w:rPr>
        <w:t xml:space="preserve">local </w:t>
      </w:r>
      <w:r w:rsidRPr="008500DA">
        <w:rPr>
          <w:rFonts w:ascii="Arial" w:hAnsi="Arial" w:cs="Arial"/>
        </w:rPr>
        <w:t>community.</w:t>
      </w:r>
      <w:bookmarkEnd w:id="0"/>
    </w:p>
    <w:p w14:paraId="7AF018A5" w14:textId="77777777" w:rsidR="008500DA" w:rsidRPr="008500DA" w:rsidRDefault="008500DA" w:rsidP="008500DA">
      <w:pPr>
        <w:pStyle w:val="ListParagraph"/>
        <w:ind w:left="-3"/>
        <w:rPr>
          <w:rFonts w:ascii="Arial" w:hAnsi="Arial" w:cs="Arial"/>
        </w:rPr>
      </w:pPr>
    </w:p>
    <w:p w14:paraId="27822E1C" w14:textId="4B14E738" w:rsidR="0021644C" w:rsidRDefault="008500DA" w:rsidP="008500DA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8500DA">
        <w:rPr>
          <w:rFonts w:ascii="Arial" w:hAnsi="Arial" w:cs="Arial"/>
        </w:rPr>
        <w:t xml:space="preserve">This framework </w:t>
      </w:r>
      <w:r w:rsidR="00C66CCB">
        <w:rPr>
          <w:rFonts w:ascii="Arial" w:hAnsi="Arial" w:cs="Arial"/>
        </w:rPr>
        <w:t>is currently being trialled and applies to select lettings only</w:t>
      </w:r>
      <w:bookmarkStart w:id="1" w:name="_Hlk183090378"/>
      <w:r w:rsidR="007D24AD">
        <w:rPr>
          <w:rFonts w:ascii="Arial" w:hAnsi="Arial" w:cs="Arial"/>
        </w:rPr>
        <w:t>.</w:t>
      </w:r>
      <w:r w:rsidR="007D24AD">
        <w:rPr>
          <w:rStyle w:val="FootnoteReference"/>
          <w:rFonts w:ascii="Arial" w:hAnsi="Arial" w:cs="Arial"/>
        </w:rPr>
        <w:footnoteReference w:id="1"/>
      </w:r>
    </w:p>
    <w:p w14:paraId="482FA025" w14:textId="77777777" w:rsidR="0021644C" w:rsidRPr="0021644C" w:rsidRDefault="0021644C" w:rsidP="0021644C">
      <w:pPr>
        <w:pStyle w:val="ListParagraph"/>
        <w:rPr>
          <w:rFonts w:ascii="Arial" w:hAnsi="Arial" w:cs="Arial"/>
        </w:rPr>
      </w:pPr>
    </w:p>
    <w:p w14:paraId="47ECA9C9" w14:textId="087C66D8" w:rsidR="008500DA" w:rsidRDefault="008D351D" w:rsidP="008500DA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reduction </w:t>
      </w:r>
      <w:r w:rsidR="008500DA" w:rsidRPr="008500DA">
        <w:rPr>
          <w:rFonts w:ascii="Arial" w:hAnsi="Arial" w:cs="Arial"/>
        </w:rPr>
        <w:t>applies to rent charges only, and tenants will still be liable for all</w:t>
      </w:r>
      <w:r w:rsidR="00100EFD">
        <w:rPr>
          <w:rFonts w:ascii="Arial" w:hAnsi="Arial" w:cs="Arial"/>
        </w:rPr>
        <w:t xml:space="preserve"> other</w:t>
      </w:r>
      <w:r w:rsidR="008500DA" w:rsidRPr="008500DA">
        <w:rPr>
          <w:rFonts w:ascii="Arial" w:hAnsi="Arial" w:cs="Arial"/>
        </w:rPr>
        <w:t xml:space="preserve"> charges and costs associated with the premises.</w:t>
      </w:r>
      <w:bookmarkEnd w:id="1"/>
    </w:p>
    <w:p w14:paraId="5D3A67F9" w14:textId="77777777" w:rsidR="008500DA" w:rsidRPr="008500DA" w:rsidRDefault="008500DA" w:rsidP="008500DA">
      <w:pPr>
        <w:pStyle w:val="ListParagraph"/>
        <w:rPr>
          <w:rFonts w:ascii="Arial" w:hAnsi="Arial" w:cs="Arial"/>
        </w:rPr>
      </w:pPr>
    </w:p>
    <w:p w14:paraId="624D1FF4" w14:textId="63C72DFC" w:rsidR="008500DA" w:rsidRPr="008500DA" w:rsidRDefault="008500DA" w:rsidP="008500DA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8500DA">
        <w:rPr>
          <w:rFonts w:ascii="Arial" w:hAnsi="Arial" w:cs="Arial"/>
        </w:rPr>
        <w:t xml:space="preserve">To ensure the greatest community value is derived from the Council’s assets, there are general criteria that organisations will be required to meet </w:t>
      </w:r>
      <w:r w:rsidR="00276B34" w:rsidRPr="008500DA">
        <w:rPr>
          <w:rFonts w:ascii="Arial" w:hAnsi="Arial" w:cs="Arial"/>
        </w:rPr>
        <w:t>to</w:t>
      </w:r>
      <w:r w:rsidRPr="008500DA">
        <w:rPr>
          <w:rFonts w:ascii="Arial" w:hAnsi="Arial" w:cs="Arial"/>
        </w:rPr>
        <w:t xml:space="preserve"> be eligible for a Market Rent Reduction. </w:t>
      </w:r>
      <w:r>
        <w:rPr>
          <w:rFonts w:ascii="Arial" w:hAnsi="Arial" w:cs="Arial"/>
        </w:rPr>
        <w:t xml:space="preserve">All bidders are required to complete the </w:t>
      </w:r>
      <w:r w:rsidR="00473920">
        <w:rPr>
          <w:rFonts w:ascii="Arial" w:hAnsi="Arial" w:cs="Arial"/>
        </w:rPr>
        <w:t>‘</w:t>
      </w:r>
      <w:r w:rsidRPr="00AC4178">
        <w:rPr>
          <w:rFonts w:ascii="Arial" w:hAnsi="Arial" w:cs="Arial"/>
        </w:rPr>
        <w:t xml:space="preserve">Market Rent Reduction Eligibility </w:t>
      </w:r>
      <w:r w:rsidR="000335C6" w:rsidRPr="00AC4178">
        <w:rPr>
          <w:rFonts w:ascii="Arial" w:hAnsi="Arial" w:cs="Arial"/>
        </w:rPr>
        <w:t>Checklist’</w:t>
      </w:r>
      <w:r w:rsidR="00D00C1F">
        <w:rPr>
          <w:rFonts w:ascii="Arial" w:hAnsi="Arial" w:cs="Arial"/>
        </w:rPr>
        <w:t>, as well as the ‘Market Rent Reduction Response Sheet’.</w:t>
      </w:r>
    </w:p>
    <w:p w14:paraId="43CFB86B" w14:textId="77777777" w:rsidR="008500DA" w:rsidRPr="008500DA" w:rsidRDefault="008500DA" w:rsidP="008500DA">
      <w:pPr>
        <w:pStyle w:val="ListParagraph"/>
        <w:rPr>
          <w:rFonts w:ascii="Arial" w:hAnsi="Arial" w:cs="Arial"/>
        </w:rPr>
      </w:pPr>
    </w:p>
    <w:p w14:paraId="46889638" w14:textId="65A23818" w:rsidR="00473920" w:rsidRDefault="008500DA" w:rsidP="00D00C1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8500DA">
        <w:rPr>
          <w:rFonts w:ascii="Arial" w:hAnsi="Arial" w:cs="Arial"/>
        </w:rPr>
        <w:t>Bids will be scored against a</w:t>
      </w:r>
      <w:r>
        <w:rPr>
          <w:rFonts w:ascii="Arial" w:hAnsi="Arial" w:cs="Arial"/>
        </w:rPr>
        <w:t xml:space="preserve"> set of</w:t>
      </w:r>
      <w:r w:rsidRPr="008500DA">
        <w:rPr>
          <w:rFonts w:ascii="Arial" w:hAnsi="Arial" w:cs="Arial"/>
        </w:rPr>
        <w:t xml:space="preserve"> criteria, which will determine </w:t>
      </w:r>
      <w:r>
        <w:rPr>
          <w:rFonts w:ascii="Arial" w:hAnsi="Arial" w:cs="Arial"/>
        </w:rPr>
        <w:t>the</w:t>
      </w:r>
      <w:r w:rsidRPr="008500DA">
        <w:rPr>
          <w:rFonts w:ascii="Arial" w:hAnsi="Arial" w:cs="Arial"/>
        </w:rPr>
        <w:t xml:space="preserve"> potential band of rent reduction </w:t>
      </w:r>
      <w:r>
        <w:rPr>
          <w:rFonts w:ascii="Arial" w:hAnsi="Arial" w:cs="Arial"/>
        </w:rPr>
        <w:t>that can be granted (Tables 1</w:t>
      </w:r>
      <w:r w:rsidR="0064718F">
        <w:rPr>
          <w:rFonts w:ascii="Arial" w:hAnsi="Arial" w:cs="Arial"/>
        </w:rPr>
        <w:t xml:space="preserve"> and 2</w:t>
      </w:r>
      <w:r>
        <w:rPr>
          <w:rFonts w:ascii="Arial" w:hAnsi="Arial" w:cs="Arial"/>
        </w:rPr>
        <w:t>).</w:t>
      </w:r>
    </w:p>
    <w:p w14:paraId="01F539E7" w14:textId="77777777" w:rsidR="00D00C1F" w:rsidRPr="00D00C1F" w:rsidRDefault="00D00C1F" w:rsidP="00D00C1F">
      <w:pPr>
        <w:pStyle w:val="ListParagraph"/>
        <w:rPr>
          <w:rFonts w:ascii="Arial" w:hAnsi="Arial" w:cs="Arial"/>
        </w:rPr>
      </w:pPr>
    </w:p>
    <w:p w14:paraId="7238A3EA" w14:textId="77777777" w:rsidR="00D00C1F" w:rsidRPr="00D00C1F" w:rsidRDefault="00D00C1F" w:rsidP="00D00C1F">
      <w:pPr>
        <w:pStyle w:val="ListParagraph"/>
        <w:ind w:left="-3"/>
        <w:rPr>
          <w:rFonts w:ascii="Arial" w:hAnsi="Arial" w:cs="Arial"/>
        </w:rPr>
      </w:pPr>
    </w:p>
    <w:p w14:paraId="450E7E77" w14:textId="77777777" w:rsidR="008500DA" w:rsidRDefault="008500DA" w:rsidP="008500D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8500DA">
        <w:rPr>
          <w:rFonts w:ascii="Arial" w:hAnsi="Arial" w:cs="Arial"/>
          <w:b/>
          <w:bCs/>
        </w:rPr>
        <w:t xml:space="preserve">Measuring Community Value </w:t>
      </w:r>
    </w:p>
    <w:p w14:paraId="4FCEEB4D" w14:textId="77777777" w:rsidR="008500DA" w:rsidRDefault="008500DA" w:rsidP="008500DA">
      <w:pPr>
        <w:pStyle w:val="ListParagraph"/>
        <w:rPr>
          <w:rFonts w:ascii="Arial" w:hAnsi="Arial" w:cs="Arial"/>
        </w:rPr>
      </w:pPr>
    </w:p>
    <w:p w14:paraId="598F91C7" w14:textId="76E72182" w:rsidR="008500DA" w:rsidRPr="008500DA" w:rsidRDefault="008500DA" w:rsidP="008500DA">
      <w:pPr>
        <w:pStyle w:val="ListParagraph"/>
        <w:numPr>
          <w:ilvl w:val="1"/>
          <w:numId w:val="5"/>
        </w:numPr>
        <w:ind w:left="0"/>
        <w:rPr>
          <w:rFonts w:ascii="Arial" w:hAnsi="Arial" w:cs="Arial"/>
          <w:b/>
          <w:bCs/>
        </w:rPr>
      </w:pPr>
      <w:r w:rsidRPr="008500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panel of Brent Officers will evaluate bids against the </w:t>
      </w:r>
      <w:r w:rsidR="00AC4178">
        <w:rPr>
          <w:rFonts w:ascii="Arial" w:hAnsi="Arial" w:cs="Arial"/>
        </w:rPr>
        <w:t>p</w:t>
      </w:r>
      <w:r>
        <w:rPr>
          <w:rFonts w:ascii="Arial" w:hAnsi="Arial" w:cs="Arial"/>
        </w:rPr>
        <w:t>oints matrix (Table 1)</w:t>
      </w:r>
      <w:r w:rsidRPr="008500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points matrix will determine the number of points scored by a bid, which will determine the band of rent reduction (Table </w:t>
      </w:r>
      <w:r w:rsidR="0064718F">
        <w:rPr>
          <w:rFonts w:ascii="Arial" w:hAnsi="Arial" w:cs="Arial"/>
        </w:rPr>
        <w:t>2</w:t>
      </w:r>
      <w:r>
        <w:rPr>
          <w:rFonts w:ascii="Arial" w:hAnsi="Arial" w:cs="Arial"/>
        </w:rPr>
        <w:t>).</w:t>
      </w:r>
    </w:p>
    <w:p w14:paraId="59FCF463" w14:textId="77777777" w:rsidR="008500DA" w:rsidRDefault="008500DA" w:rsidP="008500DA">
      <w:pPr>
        <w:rPr>
          <w:rFonts w:ascii="Arial" w:hAnsi="Arial" w:cs="Arial"/>
          <w:b/>
          <w:bCs/>
        </w:rPr>
      </w:pPr>
    </w:p>
    <w:p w14:paraId="53FC96BE" w14:textId="77777777" w:rsidR="008500DA" w:rsidRDefault="008500DA" w:rsidP="008500DA">
      <w:pPr>
        <w:rPr>
          <w:rFonts w:ascii="Arial" w:hAnsi="Arial" w:cs="Arial"/>
          <w:b/>
          <w:bCs/>
        </w:rPr>
      </w:pPr>
    </w:p>
    <w:p w14:paraId="721EB7F0" w14:textId="77777777" w:rsidR="008500DA" w:rsidRDefault="008500DA" w:rsidP="008500DA">
      <w:pPr>
        <w:rPr>
          <w:rFonts w:ascii="Arial" w:hAnsi="Arial" w:cs="Arial"/>
          <w:b/>
          <w:bCs/>
        </w:rPr>
      </w:pPr>
    </w:p>
    <w:p w14:paraId="0CEB6491" w14:textId="77777777" w:rsidR="008500DA" w:rsidRDefault="008500DA" w:rsidP="008500DA">
      <w:pPr>
        <w:rPr>
          <w:rFonts w:ascii="Arial" w:hAnsi="Arial" w:cs="Arial"/>
          <w:b/>
          <w:bCs/>
        </w:rPr>
      </w:pPr>
    </w:p>
    <w:p w14:paraId="1D433BB2" w14:textId="77777777" w:rsidR="008500DA" w:rsidRDefault="008500DA" w:rsidP="008500DA">
      <w:pPr>
        <w:rPr>
          <w:rFonts w:ascii="Arial" w:hAnsi="Arial" w:cs="Arial"/>
          <w:b/>
          <w:bCs/>
        </w:rPr>
      </w:pPr>
    </w:p>
    <w:p w14:paraId="733D3B22" w14:textId="77777777" w:rsidR="008500DA" w:rsidRDefault="008500DA" w:rsidP="008500DA">
      <w:pPr>
        <w:rPr>
          <w:rFonts w:ascii="Arial" w:hAnsi="Arial" w:cs="Arial"/>
          <w:b/>
          <w:bCs/>
        </w:rPr>
      </w:pPr>
    </w:p>
    <w:p w14:paraId="5409CE5D" w14:textId="77777777" w:rsidR="008500DA" w:rsidRDefault="008500DA" w:rsidP="008500DA">
      <w:pPr>
        <w:rPr>
          <w:rFonts w:ascii="Arial" w:hAnsi="Arial" w:cs="Arial"/>
          <w:b/>
          <w:bCs/>
        </w:rPr>
      </w:pPr>
    </w:p>
    <w:p w14:paraId="5C13858A" w14:textId="77777777" w:rsidR="008500DA" w:rsidRDefault="008500DA" w:rsidP="008500DA">
      <w:pPr>
        <w:rPr>
          <w:rFonts w:ascii="Arial" w:hAnsi="Arial" w:cs="Arial"/>
          <w:b/>
          <w:bCs/>
        </w:rPr>
      </w:pPr>
    </w:p>
    <w:p w14:paraId="64134A68" w14:textId="77777777" w:rsidR="008500DA" w:rsidRDefault="008500DA" w:rsidP="008500DA">
      <w:pPr>
        <w:rPr>
          <w:rFonts w:ascii="Arial" w:hAnsi="Arial" w:cs="Arial"/>
          <w:b/>
          <w:bCs/>
        </w:rPr>
      </w:pPr>
    </w:p>
    <w:p w14:paraId="73D86A4A" w14:textId="77777777" w:rsidR="008500DA" w:rsidRDefault="008500DA" w:rsidP="00AC4178">
      <w:pPr>
        <w:rPr>
          <w:rFonts w:ascii="Arial" w:hAnsi="Arial" w:cs="Arial"/>
          <w:b/>
          <w:bCs/>
        </w:rPr>
      </w:pPr>
    </w:p>
    <w:p w14:paraId="1A811E26" w14:textId="77777777" w:rsidR="00787999" w:rsidRPr="00AC4178" w:rsidRDefault="00787999" w:rsidP="00AC4178">
      <w:pPr>
        <w:rPr>
          <w:rFonts w:ascii="Arial" w:hAnsi="Arial" w:cs="Arial"/>
          <w:b/>
          <w:bCs/>
        </w:rPr>
      </w:pPr>
    </w:p>
    <w:p w14:paraId="401D5673" w14:textId="77777777" w:rsidR="00B707AD" w:rsidRDefault="00B707AD" w:rsidP="008500DA">
      <w:pPr>
        <w:pStyle w:val="ListParagraph"/>
        <w:ind w:left="2880" w:firstLine="720"/>
        <w:rPr>
          <w:rFonts w:ascii="Arial" w:hAnsi="Arial" w:cs="Arial"/>
          <w:b/>
          <w:bCs/>
        </w:rPr>
      </w:pPr>
    </w:p>
    <w:p w14:paraId="50728168" w14:textId="77777777" w:rsidR="008500DA" w:rsidRPr="008500DA" w:rsidRDefault="008500DA" w:rsidP="00B707AD">
      <w:pPr>
        <w:pStyle w:val="ListParagraph"/>
        <w:ind w:left="2880" w:firstLine="381"/>
        <w:rPr>
          <w:rFonts w:ascii="Arial" w:hAnsi="Arial" w:cs="Arial"/>
          <w:b/>
          <w:bCs/>
        </w:rPr>
      </w:pPr>
      <w:r w:rsidRPr="008500DA">
        <w:rPr>
          <w:rFonts w:ascii="Arial" w:hAnsi="Arial" w:cs="Arial"/>
          <w:b/>
          <w:bCs/>
        </w:rPr>
        <w:lastRenderedPageBreak/>
        <w:t xml:space="preserve">Table 1: Points matrix </w:t>
      </w: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410"/>
        <w:gridCol w:w="1701"/>
        <w:gridCol w:w="1842"/>
        <w:gridCol w:w="1843"/>
      </w:tblGrid>
      <w:tr w:rsidR="00B707AD" w:rsidRPr="008500DA" w14:paraId="5C998039" w14:textId="77777777" w:rsidTr="004773C3">
        <w:trPr>
          <w:trHeight w:val="795"/>
        </w:trPr>
        <w:tc>
          <w:tcPr>
            <w:tcW w:w="1135" w:type="dxa"/>
            <w:shd w:val="clear" w:color="auto" w:fill="D9E2F3" w:themeFill="accent1" w:themeFillTint="33"/>
          </w:tcPr>
          <w:p w14:paraId="454883E7" w14:textId="700A7CE7" w:rsidR="008500DA" w:rsidRPr="00D66381" w:rsidRDefault="008500DA" w:rsidP="00D663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21">
              <w:rPr>
                <w:rFonts w:ascii="Arial" w:hAnsi="Arial" w:cs="Arial"/>
                <w:sz w:val="20"/>
                <w:szCs w:val="20"/>
              </w:rPr>
              <w:t>Property Strategy Priority: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8AAF46D" w14:textId="77777777" w:rsidR="008500DA" w:rsidRDefault="008500DA" w:rsidP="00D6638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858C2">
              <w:rPr>
                <w:rFonts w:ascii="Arial" w:hAnsi="Arial" w:cs="Arial"/>
                <w:b/>
                <w:bCs/>
                <w:color w:val="000000" w:themeColor="text1"/>
              </w:rPr>
              <w:t>Strategic Alignm</w:t>
            </w:r>
            <w:r w:rsidR="00D66381">
              <w:rPr>
                <w:rFonts w:ascii="Arial" w:hAnsi="Arial" w:cs="Arial"/>
                <w:b/>
                <w:bCs/>
                <w:color w:val="000000" w:themeColor="text1"/>
              </w:rPr>
              <w:t>e</w:t>
            </w:r>
            <w:r w:rsidRPr="007858C2">
              <w:rPr>
                <w:rFonts w:ascii="Arial" w:hAnsi="Arial" w:cs="Arial"/>
                <w:b/>
                <w:bCs/>
                <w:color w:val="000000" w:themeColor="text1"/>
              </w:rPr>
              <w:t>nt</w:t>
            </w:r>
          </w:p>
          <w:p w14:paraId="21ABE75F" w14:textId="07EC5599" w:rsidR="00AC4178" w:rsidRPr="00AC4178" w:rsidRDefault="00AC4178" w:rsidP="00D663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41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(max. </w:t>
            </w:r>
            <w:r w:rsidRPr="00AC417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AC417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points)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AD7DAA6" w14:textId="77777777" w:rsidR="008500DA" w:rsidRPr="007858C2" w:rsidRDefault="008500DA" w:rsidP="007858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858C2">
              <w:rPr>
                <w:rFonts w:ascii="Arial" w:hAnsi="Arial" w:cs="Arial"/>
                <w:b/>
                <w:bCs/>
                <w:color w:val="000000" w:themeColor="text1"/>
              </w:rPr>
              <w:t>Community Benefit</w:t>
            </w:r>
          </w:p>
          <w:p w14:paraId="2A7BC65F" w14:textId="77777777" w:rsidR="008500DA" w:rsidRDefault="008500DA" w:rsidP="00D66381">
            <w:pPr>
              <w:rPr>
                <w:rFonts w:ascii="Arial" w:hAnsi="Arial" w:cs="Arial"/>
                <w:color w:val="000000" w:themeColor="text1"/>
              </w:rPr>
            </w:pPr>
          </w:p>
          <w:p w14:paraId="631729F4" w14:textId="421CB130" w:rsidR="00AC4178" w:rsidRPr="00AC4178" w:rsidRDefault="00AC4178" w:rsidP="00AC41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4178">
              <w:rPr>
                <w:rFonts w:ascii="Arial" w:hAnsi="Arial" w:cs="Arial"/>
                <w:color w:val="000000" w:themeColor="text1"/>
                <w:sz w:val="16"/>
                <w:szCs w:val="16"/>
              </w:rPr>
              <w:t>(max. 3 points)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85FD32F" w14:textId="77777777" w:rsidR="008500DA" w:rsidRDefault="008500DA" w:rsidP="00D6638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858C2">
              <w:rPr>
                <w:rFonts w:ascii="Arial" w:hAnsi="Arial" w:cs="Arial"/>
                <w:b/>
                <w:bCs/>
                <w:color w:val="000000" w:themeColor="text1"/>
              </w:rPr>
              <w:t>Social</w:t>
            </w:r>
          </w:p>
          <w:p w14:paraId="540BE444" w14:textId="77777777" w:rsidR="00AC4178" w:rsidRDefault="00AC4178" w:rsidP="00D6638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B82F004" w14:textId="6DF677BC" w:rsidR="00AC4178" w:rsidRPr="00AC4178" w:rsidRDefault="00AC4178" w:rsidP="00D663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4178">
              <w:rPr>
                <w:rFonts w:ascii="Arial" w:hAnsi="Arial" w:cs="Arial"/>
                <w:color w:val="000000" w:themeColor="text1"/>
                <w:sz w:val="16"/>
                <w:szCs w:val="16"/>
              </w:rPr>
              <w:t>(max. 2 points)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10BD5A36" w14:textId="77777777" w:rsidR="008500DA" w:rsidRDefault="008500DA" w:rsidP="00D66381">
            <w:pPr>
              <w:jc w:val="center"/>
              <w:rPr>
                <w:rFonts w:ascii="Arial" w:hAnsi="Arial" w:cs="Arial"/>
                <w:b/>
                <w:bCs/>
              </w:rPr>
            </w:pPr>
            <w:r w:rsidRPr="007858C2">
              <w:rPr>
                <w:rFonts w:ascii="Arial" w:hAnsi="Arial" w:cs="Arial"/>
                <w:b/>
                <w:bCs/>
              </w:rPr>
              <w:t>Environmental</w:t>
            </w:r>
          </w:p>
          <w:p w14:paraId="1CA7615C" w14:textId="77777777" w:rsidR="00AC4178" w:rsidRDefault="00AC4178" w:rsidP="00D6638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B428C4" w14:textId="5C4ED086" w:rsidR="00AC4178" w:rsidRPr="00AC4178" w:rsidRDefault="00AC4178" w:rsidP="00D66381">
            <w:pPr>
              <w:jc w:val="center"/>
              <w:rPr>
                <w:rFonts w:ascii="Arial" w:hAnsi="Arial" w:cs="Arial"/>
              </w:rPr>
            </w:pPr>
            <w:r w:rsidRPr="00AC4178">
              <w:rPr>
                <w:rFonts w:ascii="Arial" w:hAnsi="Arial" w:cs="Arial"/>
                <w:color w:val="000000" w:themeColor="text1"/>
                <w:sz w:val="16"/>
                <w:szCs w:val="16"/>
              </w:rPr>
              <w:t>(max. 2 points)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68E3B71" w14:textId="77777777" w:rsidR="008500DA" w:rsidRDefault="008500DA" w:rsidP="00D6638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858C2">
              <w:rPr>
                <w:rFonts w:ascii="Arial" w:hAnsi="Arial" w:cs="Arial"/>
                <w:b/>
                <w:bCs/>
                <w:color w:val="000000" w:themeColor="text1"/>
              </w:rPr>
              <w:t>Economic Viability</w:t>
            </w:r>
          </w:p>
          <w:p w14:paraId="28EB0E8A" w14:textId="20F4D505" w:rsidR="00AC4178" w:rsidRPr="00AC4178" w:rsidRDefault="00AC4178" w:rsidP="00D663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C4178">
              <w:rPr>
                <w:rFonts w:ascii="Arial" w:hAnsi="Arial" w:cs="Arial"/>
                <w:color w:val="000000" w:themeColor="text1"/>
                <w:sz w:val="16"/>
                <w:szCs w:val="16"/>
              </w:rPr>
              <w:t>(max. 10 points)</w:t>
            </w:r>
          </w:p>
        </w:tc>
      </w:tr>
      <w:tr w:rsidR="007858C2" w:rsidRPr="008500DA" w14:paraId="01620E76" w14:textId="77777777" w:rsidTr="007858C2">
        <w:trPr>
          <w:trHeight w:val="5400"/>
        </w:trPr>
        <w:tc>
          <w:tcPr>
            <w:tcW w:w="1135" w:type="dxa"/>
          </w:tcPr>
          <w:p w14:paraId="2022C0BE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8F783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Question:</w:t>
            </w:r>
          </w:p>
          <w:p w14:paraId="3A4C4929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9F8B61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2C7C7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6F855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1A2F5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54ED1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DA282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0355C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BE5FC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2CD0A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0BFF6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13D92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3F7F5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C5DC0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5703B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F6D57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25748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B333B" w14:textId="77777777" w:rsidR="007858C2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077F8" w14:textId="77777777" w:rsidR="007858C2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7D38C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6CDCA" w14:textId="77777777" w:rsidR="007858C2" w:rsidRPr="00A1285D" w:rsidRDefault="007858C2" w:rsidP="002E1F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85D">
              <w:rPr>
                <w:rFonts w:ascii="Arial" w:hAnsi="Arial" w:cs="Arial"/>
                <w:b/>
                <w:bCs/>
                <w:sz w:val="20"/>
                <w:szCs w:val="20"/>
              </w:rPr>
              <w:t>Points awarded: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72BBA9" w14:textId="77777777" w:rsidR="007858C2" w:rsidRPr="008500DA" w:rsidRDefault="007858C2" w:rsidP="002E1F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95FEF0" w14:textId="77777777" w:rsidR="007858C2" w:rsidRPr="008500DA" w:rsidRDefault="007858C2" w:rsidP="002E1F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07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Q1</w:t>
            </w:r>
            <w:r w:rsidRPr="008500DA">
              <w:rPr>
                <w:rFonts w:ascii="Arial" w:hAnsi="Arial" w:cs="Arial"/>
                <w:color w:val="000000" w:themeColor="text1"/>
                <w:sz w:val="20"/>
                <w:szCs w:val="20"/>
              </w:rPr>
              <w:t>. Do proposals align with Brent’s vision and strategies, including:</w:t>
            </w:r>
          </w:p>
          <w:p w14:paraId="3F620E09" w14:textId="77777777" w:rsidR="007858C2" w:rsidRPr="008500DA" w:rsidRDefault="007858C2" w:rsidP="008500DA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Pr="008500DA">
                <w:rPr>
                  <w:rStyle w:val="Hyperlink"/>
                  <w:rFonts w:ascii="Arial" w:hAnsi="Arial" w:cs="Arial"/>
                  <w:sz w:val="20"/>
                  <w:szCs w:val="20"/>
                </w:rPr>
                <w:t>Borough Plan 2023 -2027</w:t>
              </w:r>
            </w:hyperlink>
          </w:p>
          <w:p w14:paraId="2FC148BC" w14:textId="77777777" w:rsidR="007858C2" w:rsidRPr="008500DA" w:rsidRDefault="007858C2" w:rsidP="008500DA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Pr="008500DA">
                <w:rPr>
                  <w:rStyle w:val="Hyperlink"/>
                  <w:rFonts w:ascii="Arial" w:hAnsi="Arial" w:cs="Arial"/>
                  <w:sz w:val="20"/>
                  <w:szCs w:val="20"/>
                </w:rPr>
                <w:t>Health Wellbeing Strategy 2022 - 2027</w:t>
              </w:r>
            </w:hyperlink>
          </w:p>
          <w:p w14:paraId="2510297E" w14:textId="77777777" w:rsidR="007858C2" w:rsidRPr="008500DA" w:rsidRDefault="007858C2" w:rsidP="008500DA">
            <w:pPr>
              <w:pStyle w:val="ListParagraph"/>
              <w:numPr>
                <w:ilvl w:val="0"/>
                <w:numId w:val="2"/>
              </w:numPr>
              <w:ind w:left="170" w:hanging="1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9" w:history="1">
              <w:r w:rsidRPr="008500DA">
                <w:rPr>
                  <w:rStyle w:val="Hyperlink"/>
                  <w:rFonts w:ascii="Arial" w:hAnsi="Arial" w:cs="Arial"/>
                  <w:sz w:val="20"/>
                  <w:szCs w:val="20"/>
                </w:rPr>
                <w:t>Equity, Diversity and Inclusion Strategy 2024-2028</w:t>
              </w:r>
            </w:hyperlink>
          </w:p>
          <w:p w14:paraId="78148E67" w14:textId="77777777" w:rsidR="007858C2" w:rsidRPr="008500DA" w:rsidRDefault="007858C2" w:rsidP="002E1F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FE1AE1A" w14:textId="77777777" w:rsidR="007858C2" w:rsidRPr="008500DA" w:rsidRDefault="007858C2" w:rsidP="002E1FC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317FC5" w14:textId="77777777" w:rsidR="007858C2" w:rsidRPr="008500DA" w:rsidRDefault="007858C2" w:rsidP="002E1F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FF6ABA" w14:textId="77777777" w:rsidR="007858C2" w:rsidRPr="008500DA" w:rsidRDefault="007858C2" w:rsidP="002E1F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07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Q2</w:t>
            </w:r>
            <w:r w:rsidRPr="008500DA">
              <w:rPr>
                <w:rFonts w:ascii="Arial" w:hAnsi="Arial" w:cs="Arial"/>
                <w:color w:val="000000" w:themeColor="text1"/>
                <w:sz w:val="20"/>
                <w:szCs w:val="20"/>
              </w:rPr>
              <w:t>. Do proposals demonstrate knowledge of the local area and local communities?</w:t>
            </w:r>
          </w:p>
          <w:p w14:paraId="07AE4A53" w14:textId="77777777" w:rsidR="007858C2" w:rsidRPr="008500DA" w:rsidRDefault="007858C2" w:rsidP="002E1F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660315" w14:textId="77777777" w:rsidR="007858C2" w:rsidRPr="008500DA" w:rsidRDefault="007858C2" w:rsidP="002E1F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00DA">
              <w:rPr>
                <w:rFonts w:ascii="Arial" w:hAnsi="Arial" w:cs="Arial"/>
                <w:color w:val="000000" w:themeColor="text1"/>
                <w:sz w:val="20"/>
                <w:szCs w:val="20"/>
              </w:rPr>
              <w:t>Do proposals address a gap in service provision or build on or improve existing provision, for the benefit of local communities?</w:t>
            </w:r>
          </w:p>
          <w:p w14:paraId="1891078F" w14:textId="77777777" w:rsidR="007858C2" w:rsidRPr="008500DA" w:rsidRDefault="007858C2" w:rsidP="002E1F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DBC501" w14:textId="77777777" w:rsidR="007858C2" w:rsidRPr="008500DA" w:rsidRDefault="007858C2" w:rsidP="002E1FC3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500D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Data on Brent’s residents and demographics including the JSNA, Census 2021 and others can be found on Brent Open Data:</w:t>
            </w:r>
          </w:p>
          <w:p w14:paraId="202178DA" w14:textId="77777777" w:rsidR="007858C2" w:rsidRPr="008500DA" w:rsidRDefault="007858C2" w:rsidP="002E1FC3">
            <w:pPr>
              <w:rPr>
                <w:rFonts w:ascii="Arial" w:hAnsi="Arial" w:cs="Arial"/>
                <w:i/>
                <w:iCs/>
              </w:rPr>
            </w:pPr>
            <w:r w:rsidRPr="008500D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1FE0EE9E" w14:textId="77777777" w:rsidR="007858C2" w:rsidRPr="008500DA" w:rsidRDefault="007858C2" w:rsidP="002E1FC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Pr="008500DA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https://data.brent.gov.uk/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A2E92B" w14:textId="77777777" w:rsidR="007858C2" w:rsidRPr="008500DA" w:rsidRDefault="007858C2" w:rsidP="002E1F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CD7F82E" w14:textId="77777777" w:rsidR="007858C2" w:rsidRDefault="007858C2" w:rsidP="002E1F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07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Q3</w:t>
            </w:r>
            <w:r w:rsidRPr="008500DA">
              <w:rPr>
                <w:rFonts w:ascii="Arial" w:hAnsi="Arial" w:cs="Arial"/>
                <w:color w:val="000000" w:themeColor="text1"/>
                <w:sz w:val="20"/>
                <w:szCs w:val="20"/>
              </w:rPr>
              <w:t>. Do proposals support positive social outcomes? This could include indicators related to:</w:t>
            </w:r>
          </w:p>
          <w:p w14:paraId="3DFE028D" w14:textId="77777777" w:rsidR="00225E6B" w:rsidRPr="008500DA" w:rsidRDefault="00225E6B" w:rsidP="002E1F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458C337" w14:textId="77777777" w:rsidR="007858C2" w:rsidRPr="008500DA" w:rsidRDefault="007858C2" w:rsidP="008500DA">
            <w:pPr>
              <w:pStyle w:val="ListParagraph"/>
              <w:numPr>
                <w:ilvl w:val="0"/>
                <w:numId w:val="3"/>
              </w:numPr>
              <w:ind w:left="31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00DA">
              <w:rPr>
                <w:rFonts w:ascii="Arial" w:hAnsi="Arial" w:cs="Arial"/>
                <w:color w:val="000000" w:themeColor="text1"/>
                <w:sz w:val="20"/>
                <w:szCs w:val="20"/>
              </w:rPr>
              <w:t>Promoting education</w:t>
            </w:r>
          </w:p>
          <w:p w14:paraId="0C461244" w14:textId="77777777" w:rsidR="007858C2" w:rsidRPr="008500DA" w:rsidRDefault="007858C2" w:rsidP="008500DA">
            <w:pPr>
              <w:pStyle w:val="ListParagraph"/>
              <w:numPr>
                <w:ilvl w:val="0"/>
                <w:numId w:val="3"/>
              </w:numPr>
              <w:ind w:left="31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00DA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Employment and skills, including London Living Wage</w:t>
            </w:r>
          </w:p>
          <w:p w14:paraId="773762C9" w14:textId="77777777" w:rsidR="007858C2" w:rsidRPr="008500DA" w:rsidRDefault="007858C2" w:rsidP="008500DA">
            <w:pPr>
              <w:pStyle w:val="ListParagraph"/>
              <w:numPr>
                <w:ilvl w:val="0"/>
                <w:numId w:val="3"/>
              </w:numPr>
              <w:ind w:left="31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00DA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wellbeing</w:t>
            </w:r>
          </w:p>
          <w:p w14:paraId="132EEEB4" w14:textId="77777777" w:rsidR="007858C2" w:rsidRPr="008500DA" w:rsidRDefault="007858C2" w:rsidP="008500DA">
            <w:pPr>
              <w:pStyle w:val="ListParagraph"/>
              <w:numPr>
                <w:ilvl w:val="0"/>
                <w:numId w:val="3"/>
              </w:numPr>
              <w:ind w:left="312" w:hanging="283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500DA">
              <w:rPr>
                <w:rFonts w:ascii="Arial" w:hAnsi="Arial" w:cs="Arial"/>
                <w:color w:val="000000" w:themeColor="text1"/>
                <w:sz w:val="20"/>
                <w:szCs w:val="20"/>
              </w:rPr>
              <w:t>Reduction in crime and exploitation</w:t>
            </w:r>
          </w:p>
        </w:tc>
        <w:tc>
          <w:tcPr>
            <w:tcW w:w="1842" w:type="dxa"/>
          </w:tcPr>
          <w:p w14:paraId="25B92C71" w14:textId="77777777" w:rsidR="007858C2" w:rsidRPr="008500DA" w:rsidRDefault="007858C2" w:rsidP="002E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837ED" w14:textId="77777777" w:rsidR="007858C2" w:rsidRPr="008500DA" w:rsidRDefault="007858C2" w:rsidP="002E1F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07AD">
              <w:rPr>
                <w:rFonts w:ascii="Arial" w:hAnsi="Arial" w:cs="Arial"/>
                <w:b/>
                <w:bCs/>
                <w:sz w:val="20"/>
                <w:szCs w:val="20"/>
              </w:rPr>
              <w:t>Q4</w:t>
            </w:r>
            <w:r w:rsidRPr="008500DA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  <w:r w:rsidRPr="008500DA">
              <w:rPr>
                <w:rFonts w:ascii="Arial" w:hAnsi="Arial" w:cs="Arial"/>
                <w:sz w:val="20"/>
                <w:szCs w:val="20"/>
              </w:rPr>
              <w:t>Do proposals support any climate action objectives (i.e. reduce carbon emissions) and/or improve the natural environment (i.e. ecological improvements, enhance biodiversity/green spaces etc)?</w:t>
            </w:r>
          </w:p>
        </w:tc>
        <w:tc>
          <w:tcPr>
            <w:tcW w:w="1843" w:type="dxa"/>
          </w:tcPr>
          <w:p w14:paraId="47AE9707" w14:textId="77777777" w:rsidR="007858C2" w:rsidRPr="008500DA" w:rsidRDefault="007858C2" w:rsidP="002E1F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D62BFB" w14:textId="77777777" w:rsidR="007858C2" w:rsidRPr="008500DA" w:rsidRDefault="007858C2" w:rsidP="002E1FC3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707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Q5</w:t>
            </w:r>
            <w:r w:rsidRPr="008500DA">
              <w:rPr>
                <w:rFonts w:ascii="Arial" w:hAnsi="Arial" w:cs="Arial"/>
                <w:color w:val="000000" w:themeColor="text1"/>
                <w:sz w:val="20"/>
                <w:szCs w:val="20"/>
              </w:rPr>
              <w:t>. Do proposals provide clear and acceptable KPI’s and deliverables for social outcomes?</w:t>
            </w:r>
          </w:p>
        </w:tc>
      </w:tr>
      <w:tr w:rsidR="00B707AD" w:rsidRPr="008500DA" w14:paraId="776F4134" w14:textId="77777777" w:rsidTr="007858C2">
        <w:trPr>
          <w:trHeight w:val="258"/>
        </w:trPr>
        <w:tc>
          <w:tcPr>
            <w:tcW w:w="1135" w:type="dxa"/>
          </w:tcPr>
          <w:p w14:paraId="07D8FE7A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0 points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A733C9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No or some reservations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B7A78F6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No or some reservations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7F787E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42" w:type="dxa"/>
          </w:tcPr>
          <w:p w14:paraId="393E4ED1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43" w:type="dxa"/>
            <w:vMerge w:val="restart"/>
          </w:tcPr>
          <w:p w14:paraId="266287FC" w14:textId="77777777" w:rsidR="008500DA" w:rsidRPr="004773C3" w:rsidRDefault="008500DA" w:rsidP="002E1FC3">
            <w:pPr>
              <w:rPr>
                <w:rFonts w:ascii="Arial" w:hAnsi="Arial" w:cs="Arial"/>
                <w:sz w:val="18"/>
                <w:szCs w:val="18"/>
              </w:rPr>
            </w:pPr>
            <w:r w:rsidRPr="004773C3">
              <w:rPr>
                <w:rFonts w:ascii="Arial" w:hAnsi="Arial" w:cs="Arial"/>
                <w:sz w:val="18"/>
                <w:szCs w:val="18"/>
              </w:rPr>
              <w:t xml:space="preserve">Up to </w:t>
            </w:r>
            <w:r w:rsidRPr="004773C3">
              <w:rPr>
                <w:rFonts w:ascii="Arial" w:hAnsi="Arial" w:cs="Arial"/>
                <w:b/>
                <w:bCs/>
                <w:sz w:val="18"/>
                <w:szCs w:val="18"/>
              </w:rPr>
              <w:t>10 points</w:t>
            </w:r>
            <w:r w:rsidRPr="004773C3">
              <w:rPr>
                <w:rFonts w:ascii="Arial" w:hAnsi="Arial" w:cs="Arial"/>
                <w:sz w:val="18"/>
                <w:szCs w:val="18"/>
              </w:rPr>
              <w:t xml:space="preserve"> awarded based on estimated value of deliverables and outcomes. </w:t>
            </w:r>
          </w:p>
          <w:p w14:paraId="2D07A324" w14:textId="77777777" w:rsidR="008500DA" w:rsidRPr="004773C3" w:rsidRDefault="008500DA" w:rsidP="002E1F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0A78B1" w14:textId="77777777" w:rsidR="008500DA" w:rsidRPr="004773C3" w:rsidRDefault="008500DA" w:rsidP="002E1FC3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4773C3">
              <w:rPr>
                <w:rFonts w:ascii="Arial" w:hAnsi="Arial" w:cs="Arial"/>
                <w:sz w:val="18"/>
                <w:szCs w:val="18"/>
              </w:rPr>
              <w:t xml:space="preserve">This will be calculated using trusted sources including </w:t>
            </w:r>
            <w:r w:rsidRPr="004773C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773C3">
              <w:rPr>
                <w:rFonts w:ascii="Arial" w:hAnsi="Arial" w:cs="Arial"/>
                <w:sz w:val="18"/>
                <w:szCs w:val="18"/>
              </w:rPr>
              <w:instrText>HYPERLINK "https://www.greatermanchester-ca.gov.uk/what-we-do/research/research-cost-benefit-analysis/"</w:instrText>
            </w:r>
            <w:r w:rsidRPr="004773C3">
              <w:rPr>
                <w:rFonts w:ascii="Arial" w:hAnsi="Arial" w:cs="Arial"/>
                <w:sz w:val="18"/>
                <w:szCs w:val="18"/>
              </w:rPr>
            </w:r>
            <w:r w:rsidRPr="004773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73C3">
              <w:rPr>
                <w:rStyle w:val="Hyperlink"/>
                <w:rFonts w:ascii="Arial" w:hAnsi="Arial" w:cs="Arial"/>
                <w:sz w:val="18"/>
                <w:szCs w:val="18"/>
              </w:rPr>
              <w:t xml:space="preserve">Greater Manchester New </w:t>
            </w:r>
          </w:p>
          <w:p w14:paraId="41C4E542" w14:textId="77777777" w:rsidR="008500DA" w:rsidRPr="004773C3" w:rsidRDefault="008500DA" w:rsidP="002E1FC3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4773C3">
              <w:rPr>
                <w:rStyle w:val="Hyperlink"/>
                <w:rFonts w:ascii="Arial" w:hAnsi="Arial" w:cs="Arial"/>
                <w:sz w:val="18"/>
                <w:szCs w:val="18"/>
              </w:rPr>
              <w:t xml:space="preserve">Economy Model: Cost Benefit </w:t>
            </w:r>
          </w:p>
          <w:p w14:paraId="399BEF57" w14:textId="77777777" w:rsidR="008500DA" w:rsidRPr="004773C3" w:rsidRDefault="008500DA" w:rsidP="002E1FC3">
            <w:pPr>
              <w:rPr>
                <w:rFonts w:ascii="Arial" w:hAnsi="Arial" w:cs="Arial"/>
                <w:sz w:val="18"/>
                <w:szCs w:val="18"/>
              </w:rPr>
            </w:pPr>
            <w:r w:rsidRPr="004773C3">
              <w:rPr>
                <w:rStyle w:val="Hyperlink"/>
                <w:rFonts w:ascii="Arial" w:hAnsi="Arial" w:cs="Arial"/>
                <w:sz w:val="18"/>
                <w:szCs w:val="18"/>
              </w:rPr>
              <w:t>Analysis Tool 2022</w:t>
            </w:r>
            <w:r w:rsidRPr="004773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E39B8B2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AD" w:rsidRPr="008500DA" w14:paraId="0902616B" w14:textId="77777777" w:rsidTr="007858C2">
        <w:trPr>
          <w:trHeight w:val="805"/>
        </w:trPr>
        <w:tc>
          <w:tcPr>
            <w:tcW w:w="1135" w:type="dxa"/>
          </w:tcPr>
          <w:p w14:paraId="02255F1B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1 point</w:t>
            </w:r>
          </w:p>
        </w:tc>
        <w:tc>
          <w:tcPr>
            <w:tcW w:w="1559" w:type="dxa"/>
          </w:tcPr>
          <w:p w14:paraId="6EBE41FB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2410" w:type="dxa"/>
          </w:tcPr>
          <w:p w14:paraId="13F63CB7" w14:textId="27BF7396" w:rsidR="008500DA" w:rsidRPr="008500DA" w:rsidRDefault="00952D21" w:rsidP="002E1F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Satisfactory</w:t>
            </w:r>
          </w:p>
        </w:tc>
        <w:tc>
          <w:tcPr>
            <w:tcW w:w="1701" w:type="dxa"/>
          </w:tcPr>
          <w:p w14:paraId="6883ECB4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Somewhat</w:t>
            </w:r>
          </w:p>
        </w:tc>
        <w:tc>
          <w:tcPr>
            <w:tcW w:w="1842" w:type="dxa"/>
          </w:tcPr>
          <w:p w14:paraId="281CA662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Somewhat</w:t>
            </w:r>
          </w:p>
        </w:tc>
        <w:tc>
          <w:tcPr>
            <w:tcW w:w="1843" w:type="dxa"/>
            <w:vMerge/>
          </w:tcPr>
          <w:p w14:paraId="6E27D424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AD" w:rsidRPr="008500DA" w14:paraId="2E5B9BB2" w14:textId="77777777" w:rsidTr="007858C2">
        <w:trPr>
          <w:trHeight w:val="820"/>
        </w:trPr>
        <w:tc>
          <w:tcPr>
            <w:tcW w:w="1135" w:type="dxa"/>
          </w:tcPr>
          <w:p w14:paraId="3B5FEE8F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2 points</w:t>
            </w:r>
          </w:p>
        </w:tc>
        <w:tc>
          <w:tcPr>
            <w:tcW w:w="1559" w:type="dxa"/>
          </w:tcPr>
          <w:p w14:paraId="6A4FAFA0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2410" w:type="dxa"/>
          </w:tcPr>
          <w:p w14:paraId="0E117880" w14:textId="339B15F2" w:rsidR="008500DA" w:rsidRPr="008500DA" w:rsidRDefault="00952D21" w:rsidP="002E1F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</w:tc>
        <w:tc>
          <w:tcPr>
            <w:tcW w:w="1701" w:type="dxa"/>
          </w:tcPr>
          <w:p w14:paraId="4F488524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842" w:type="dxa"/>
          </w:tcPr>
          <w:p w14:paraId="2C288A39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843" w:type="dxa"/>
            <w:vMerge/>
          </w:tcPr>
          <w:p w14:paraId="2A4B85E0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7AD" w:rsidRPr="008500DA" w14:paraId="51226968" w14:textId="77777777" w:rsidTr="007858C2">
        <w:trPr>
          <w:trHeight w:val="805"/>
        </w:trPr>
        <w:tc>
          <w:tcPr>
            <w:tcW w:w="1135" w:type="dxa"/>
          </w:tcPr>
          <w:p w14:paraId="0B70D3C9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3 points</w:t>
            </w:r>
          </w:p>
        </w:tc>
        <w:tc>
          <w:tcPr>
            <w:tcW w:w="1559" w:type="dxa"/>
          </w:tcPr>
          <w:p w14:paraId="02796A84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  <w:r w:rsidRPr="008500DA">
              <w:rPr>
                <w:rFonts w:ascii="Arial" w:hAnsi="Arial" w:cs="Arial"/>
                <w:sz w:val="20"/>
                <w:szCs w:val="20"/>
              </w:rPr>
              <w:t>Outstanding</w:t>
            </w:r>
          </w:p>
        </w:tc>
        <w:tc>
          <w:tcPr>
            <w:tcW w:w="2410" w:type="dxa"/>
          </w:tcPr>
          <w:p w14:paraId="06F7E8AD" w14:textId="39BE2C26" w:rsidR="008500DA" w:rsidRPr="008500DA" w:rsidRDefault="00952D21" w:rsidP="002E1F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FA5FA75" w14:textId="77777777" w:rsidR="008500DA" w:rsidRPr="008500DA" w:rsidRDefault="008500DA" w:rsidP="002E1F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14:paraId="4D864185" w14:textId="77777777" w:rsidR="008500DA" w:rsidRPr="008500DA" w:rsidRDefault="008500DA" w:rsidP="002E1FC3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28C72F2" w14:textId="77777777" w:rsidR="008500DA" w:rsidRPr="008500DA" w:rsidRDefault="008500DA" w:rsidP="002E1FC3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</w:tbl>
    <w:p w14:paraId="06724C2C" w14:textId="77777777" w:rsidR="00B707AD" w:rsidRDefault="00B707AD" w:rsidP="00B707AD">
      <w:pPr>
        <w:rPr>
          <w:rFonts w:ascii="Arial" w:hAnsi="Arial" w:cs="Arial"/>
        </w:rPr>
      </w:pPr>
    </w:p>
    <w:p w14:paraId="406AA558" w14:textId="35470D68" w:rsidR="00A1285D" w:rsidRDefault="00A1285D" w:rsidP="00B707AD">
      <w:pPr>
        <w:pStyle w:val="ListParagraph"/>
        <w:numPr>
          <w:ilvl w:val="1"/>
          <w:numId w:val="5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Bids can score a maximum of 20 points.</w:t>
      </w:r>
    </w:p>
    <w:p w14:paraId="3BABE710" w14:textId="77777777" w:rsidR="00A1285D" w:rsidRDefault="00A1285D" w:rsidP="00A1285D">
      <w:pPr>
        <w:pStyle w:val="ListParagraph"/>
        <w:ind w:left="0"/>
        <w:rPr>
          <w:rFonts w:ascii="Arial" w:hAnsi="Arial" w:cs="Arial"/>
        </w:rPr>
      </w:pPr>
    </w:p>
    <w:p w14:paraId="73EF0916" w14:textId="5655FBDB" w:rsidR="008500DA" w:rsidRPr="00B707AD" w:rsidRDefault="008500DA" w:rsidP="00B707AD">
      <w:pPr>
        <w:pStyle w:val="ListParagraph"/>
        <w:numPr>
          <w:ilvl w:val="1"/>
          <w:numId w:val="5"/>
        </w:numPr>
        <w:ind w:left="0"/>
        <w:rPr>
          <w:rFonts w:ascii="Arial" w:hAnsi="Arial" w:cs="Arial"/>
        </w:rPr>
      </w:pPr>
      <w:r w:rsidRPr="00B707AD">
        <w:rPr>
          <w:rFonts w:ascii="Arial" w:hAnsi="Arial" w:cs="Arial"/>
        </w:rPr>
        <w:t>The number of points receive</w:t>
      </w:r>
      <w:r w:rsidR="00B707AD">
        <w:rPr>
          <w:rFonts w:ascii="Arial" w:hAnsi="Arial" w:cs="Arial"/>
        </w:rPr>
        <w:t>d</w:t>
      </w:r>
      <w:r w:rsidRPr="00B707AD">
        <w:rPr>
          <w:rFonts w:ascii="Arial" w:hAnsi="Arial" w:cs="Arial"/>
        </w:rPr>
        <w:t xml:space="preserve"> will determine the band </w:t>
      </w:r>
      <w:r w:rsidR="00B707AD">
        <w:rPr>
          <w:rFonts w:ascii="Arial" w:hAnsi="Arial" w:cs="Arial"/>
        </w:rPr>
        <w:t>of rent</w:t>
      </w:r>
      <w:r w:rsidRPr="00B707AD">
        <w:rPr>
          <w:rFonts w:ascii="Arial" w:hAnsi="Arial" w:cs="Arial"/>
        </w:rPr>
        <w:t xml:space="preserve"> reduction </w:t>
      </w:r>
      <w:r w:rsidR="00B707AD">
        <w:rPr>
          <w:rFonts w:ascii="Arial" w:hAnsi="Arial" w:cs="Arial"/>
        </w:rPr>
        <w:t>bids are</w:t>
      </w:r>
      <w:r w:rsidRPr="00B707AD">
        <w:rPr>
          <w:rFonts w:ascii="Arial" w:hAnsi="Arial" w:cs="Arial"/>
        </w:rPr>
        <w:t xml:space="preserve"> eligible for (Table </w:t>
      </w:r>
      <w:r w:rsidR="0064718F">
        <w:rPr>
          <w:rFonts w:ascii="Arial" w:hAnsi="Arial" w:cs="Arial"/>
        </w:rPr>
        <w:t>2</w:t>
      </w:r>
      <w:r w:rsidRPr="00B707AD">
        <w:rPr>
          <w:rFonts w:ascii="Arial" w:hAnsi="Arial" w:cs="Arial"/>
        </w:rPr>
        <w:t>).</w:t>
      </w:r>
    </w:p>
    <w:p w14:paraId="343C8236" w14:textId="384FEA0E" w:rsidR="008500DA" w:rsidRPr="00613E15" w:rsidRDefault="008500DA" w:rsidP="008500DA">
      <w:pPr>
        <w:jc w:val="center"/>
        <w:rPr>
          <w:rFonts w:ascii="Arial" w:hAnsi="Arial" w:cs="Arial"/>
        </w:rPr>
      </w:pPr>
      <w:r w:rsidRPr="00613E15">
        <w:rPr>
          <w:rFonts w:ascii="Arial" w:hAnsi="Arial" w:cs="Arial"/>
          <w:b/>
          <w:bCs/>
        </w:rPr>
        <w:t xml:space="preserve">Table </w:t>
      </w:r>
      <w:r w:rsidR="0064718F">
        <w:rPr>
          <w:rFonts w:ascii="Arial" w:hAnsi="Arial" w:cs="Arial"/>
          <w:b/>
          <w:bCs/>
        </w:rPr>
        <w:t>2</w:t>
      </w:r>
      <w:r w:rsidRPr="00613E15">
        <w:rPr>
          <w:rFonts w:ascii="Arial" w:hAnsi="Arial" w:cs="Arial"/>
          <w:b/>
          <w:bCs/>
        </w:rPr>
        <w:t>: Band and rate of reduction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65"/>
        <w:gridCol w:w="1276"/>
        <w:gridCol w:w="1974"/>
      </w:tblGrid>
      <w:tr w:rsidR="00785DA1" w14:paraId="691604EB" w14:textId="77777777" w:rsidTr="001C38E0">
        <w:trPr>
          <w:jc w:val="center"/>
        </w:trPr>
        <w:tc>
          <w:tcPr>
            <w:tcW w:w="1565" w:type="dxa"/>
            <w:shd w:val="clear" w:color="auto" w:fill="D9E2F3" w:themeFill="accent1" w:themeFillTint="33"/>
          </w:tcPr>
          <w:p w14:paraId="404D8BAF" w14:textId="531349D0" w:rsidR="00785DA1" w:rsidRPr="00785DA1" w:rsidRDefault="00785DA1" w:rsidP="00785D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85DA1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05C16C7" w14:textId="2E9C614D" w:rsidR="00785DA1" w:rsidRPr="00EA6444" w:rsidRDefault="00785DA1" w:rsidP="00785DA1">
            <w:pPr>
              <w:jc w:val="center"/>
              <w:rPr>
                <w:rFonts w:ascii="Arial" w:hAnsi="Arial" w:cs="Arial"/>
                <w:b/>
                <w:bCs/>
              </w:rPr>
            </w:pPr>
            <w:r w:rsidRPr="00EA6444">
              <w:rPr>
                <w:rFonts w:ascii="Arial" w:hAnsi="Arial" w:cs="Arial"/>
                <w:b/>
                <w:bCs/>
              </w:rPr>
              <w:t>Band</w:t>
            </w:r>
          </w:p>
        </w:tc>
        <w:tc>
          <w:tcPr>
            <w:tcW w:w="1974" w:type="dxa"/>
            <w:shd w:val="clear" w:color="auto" w:fill="D9E2F3" w:themeFill="accent1" w:themeFillTint="33"/>
          </w:tcPr>
          <w:p w14:paraId="37E29CDF" w14:textId="28ECB7D6" w:rsidR="00785DA1" w:rsidRPr="00EA6444" w:rsidRDefault="001C38E0" w:rsidP="00785D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Rent r</w:t>
            </w:r>
            <w:r w:rsidR="00785DA1" w:rsidRPr="00EA6444">
              <w:rPr>
                <w:rFonts w:ascii="Arial" w:hAnsi="Arial" w:cs="Arial"/>
                <w:b/>
                <w:bCs/>
              </w:rPr>
              <w:t>eduction</w:t>
            </w:r>
          </w:p>
        </w:tc>
      </w:tr>
      <w:tr w:rsidR="00785DA1" w14:paraId="2D826A3A" w14:textId="77777777" w:rsidTr="001C38E0">
        <w:trPr>
          <w:jc w:val="center"/>
        </w:trPr>
        <w:tc>
          <w:tcPr>
            <w:tcW w:w="1565" w:type="dxa"/>
          </w:tcPr>
          <w:p w14:paraId="103DEA54" w14:textId="26038FCC" w:rsidR="00785DA1" w:rsidRPr="00785DA1" w:rsidRDefault="00785DA1" w:rsidP="00785DA1">
            <w:pPr>
              <w:jc w:val="center"/>
              <w:rPr>
                <w:rFonts w:ascii="Arial" w:hAnsi="Arial" w:cs="Arial"/>
              </w:rPr>
            </w:pPr>
            <w:r w:rsidRPr="00785DA1">
              <w:rPr>
                <w:rFonts w:ascii="Arial" w:hAnsi="Arial" w:cs="Arial"/>
              </w:rPr>
              <w:t>10 or under</w:t>
            </w:r>
          </w:p>
        </w:tc>
        <w:tc>
          <w:tcPr>
            <w:tcW w:w="1276" w:type="dxa"/>
          </w:tcPr>
          <w:p w14:paraId="0CC7AA61" w14:textId="66B3868E" w:rsidR="00785DA1" w:rsidRDefault="00785DA1" w:rsidP="00785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74" w:type="dxa"/>
          </w:tcPr>
          <w:p w14:paraId="62DFFA24" w14:textId="77777777" w:rsidR="00785DA1" w:rsidRDefault="00785DA1" w:rsidP="00785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  <w:tr w:rsidR="00785DA1" w14:paraId="27CE8E70" w14:textId="77777777" w:rsidTr="001C38E0">
        <w:trPr>
          <w:jc w:val="center"/>
        </w:trPr>
        <w:tc>
          <w:tcPr>
            <w:tcW w:w="1565" w:type="dxa"/>
          </w:tcPr>
          <w:p w14:paraId="68ED8727" w14:textId="71B059C7" w:rsidR="00785DA1" w:rsidRPr="00785DA1" w:rsidRDefault="00785DA1" w:rsidP="00785DA1">
            <w:pPr>
              <w:jc w:val="center"/>
              <w:rPr>
                <w:rFonts w:ascii="Arial" w:hAnsi="Arial" w:cs="Arial"/>
              </w:rPr>
            </w:pPr>
            <w:r w:rsidRPr="00785DA1">
              <w:rPr>
                <w:rFonts w:ascii="Arial" w:hAnsi="Arial" w:cs="Arial"/>
              </w:rPr>
              <w:t>11 – 13</w:t>
            </w:r>
          </w:p>
        </w:tc>
        <w:tc>
          <w:tcPr>
            <w:tcW w:w="1276" w:type="dxa"/>
          </w:tcPr>
          <w:p w14:paraId="7F3210CD" w14:textId="244AE986" w:rsidR="00785DA1" w:rsidRDefault="00785DA1" w:rsidP="00785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74" w:type="dxa"/>
          </w:tcPr>
          <w:p w14:paraId="3EBB9198" w14:textId="31C77CD0" w:rsidR="00785DA1" w:rsidRDefault="00E13BA3" w:rsidP="00785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785DA1">
              <w:rPr>
                <w:rFonts w:ascii="Arial" w:hAnsi="Arial" w:cs="Arial"/>
              </w:rPr>
              <w:t>%</w:t>
            </w:r>
          </w:p>
        </w:tc>
      </w:tr>
      <w:tr w:rsidR="00785DA1" w14:paraId="5082C955" w14:textId="77777777" w:rsidTr="001C38E0">
        <w:trPr>
          <w:trHeight w:val="70"/>
          <w:jc w:val="center"/>
        </w:trPr>
        <w:tc>
          <w:tcPr>
            <w:tcW w:w="1565" w:type="dxa"/>
          </w:tcPr>
          <w:p w14:paraId="46197165" w14:textId="15710AE0" w:rsidR="00785DA1" w:rsidRPr="00785DA1" w:rsidRDefault="00785DA1" w:rsidP="00785DA1">
            <w:pPr>
              <w:jc w:val="center"/>
              <w:rPr>
                <w:rFonts w:ascii="Arial" w:hAnsi="Arial" w:cs="Arial"/>
              </w:rPr>
            </w:pPr>
            <w:r w:rsidRPr="00785DA1">
              <w:rPr>
                <w:rFonts w:ascii="Arial" w:hAnsi="Arial" w:cs="Arial"/>
              </w:rPr>
              <w:t>14 – 16</w:t>
            </w:r>
          </w:p>
        </w:tc>
        <w:tc>
          <w:tcPr>
            <w:tcW w:w="1276" w:type="dxa"/>
          </w:tcPr>
          <w:p w14:paraId="3A3B2AE4" w14:textId="308053BE" w:rsidR="00785DA1" w:rsidRDefault="00785DA1" w:rsidP="00785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74" w:type="dxa"/>
          </w:tcPr>
          <w:p w14:paraId="0AE93C41" w14:textId="6066AC39" w:rsidR="00785DA1" w:rsidRDefault="00E13BA3" w:rsidP="00785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785DA1">
              <w:rPr>
                <w:rFonts w:ascii="Arial" w:hAnsi="Arial" w:cs="Arial"/>
              </w:rPr>
              <w:t>%</w:t>
            </w:r>
          </w:p>
        </w:tc>
      </w:tr>
      <w:tr w:rsidR="00785DA1" w14:paraId="6C98898C" w14:textId="77777777" w:rsidTr="001C38E0">
        <w:trPr>
          <w:trHeight w:val="310"/>
          <w:jc w:val="center"/>
        </w:trPr>
        <w:tc>
          <w:tcPr>
            <w:tcW w:w="1565" w:type="dxa"/>
          </w:tcPr>
          <w:p w14:paraId="1049A66E" w14:textId="2CBAF64A" w:rsidR="00785DA1" w:rsidRPr="00785DA1" w:rsidRDefault="00785DA1" w:rsidP="00785DA1">
            <w:pPr>
              <w:jc w:val="center"/>
              <w:rPr>
                <w:rFonts w:ascii="Arial" w:hAnsi="Arial" w:cs="Arial"/>
              </w:rPr>
            </w:pPr>
            <w:r w:rsidRPr="00785DA1">
              <w:rPr>
                <w:rFonts w:ascii="Arial" w:hAnsi="Arial" w:cs="Arial"/>
              </w:rPr>
              <w:t>17 - 20</w:t>
            </w:r>
          </w:p>
        </w:tc>
        <w:tc>
          <w:tcPr>
            <w:tcW w:w="1276" w:type="dxa"/>
          </w:tcPr>
          <w:p w14:paraId="4472A8C1" w14:textId="7458DE00" w:rsidR="00785DA1" w:rsidRDefault="00785DA1" w:rsidP="00785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74" w:type="dxa"/>
          </w:tcPr>
          <w:p w14:paraId="7DC0DD02" w14:textId="243ED050" w:rsidR="00785DA1" w:rsidRDefault="00E13BA3" w:rsidP="00785D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785DA1">
              <w:rPr>
                <w:rFonts w:ascii="Arial" w:hAnsi="Arial" w:cs="Arial"/>
              </w:rPr>
              <w:t>%</w:t>
            </w:r>
          </w:p>
        </w:tc>
      </w:tr>
    </w:tbl>
    <w:p w14:paraId="32E1BA12" w14:textId="77777777" w:rsidR="008500DA" w:rsidRPr="00FA44E8" w:rsidRDefault="008500DA" w:rsidP="008500DA">
      <w:pPr>
        <w:jc w:val="center"/>
        <w:rPr>
          <w:rFonts w:ascii="Arial" w:hAnsi="Arial" w:cs="Arial"/>
        </w:rPr>
      </w:pPr>
    </w:p>
    <w:p w14:paraId="18AC01E8" w14:textId="77777777" w:rsidR="008500DA" w:rsidRDefault="008500DA" w:rsidP="00B707AD">
      <w:pPr>
        <w:pStyle w:val="ListParagraph"/>
        <w:numPr>
          <w:ilvl w:val="1"/>
          <w:numId w:val="5"/>
        </w:numPr>
        <w:ind w:left="0"/>
        <w:rPr>
          <w:rFonts w:ascii="Arial" w:hAnsi="Arial" w:cs="Arial"/>
        </w:rPr>
      </w:pPr>
      <w:r w:rsidRPr="00DC5514">
        <w:rPr>
          <w:rFonts w:ascii="Arial" w:hAnsi="Arial" w:cs="Arial"/>
        </w:rPr>
        <w:lastRenderedPageBreak/>
        <w:t xml:space="preserve">A minimum score of </w:t>
      </w:r>
      <w:r w:rsidRPr="006C203F">
        <w:rPr>
          <w:rFonts w:ascii="Arial" w:hAnsi="Arial" w:cs="Arial"/>
          <w:b/>
          <w:bCs/>
        </w:rPr>
        <w:t>11</w:t>
      </w:r>
      <w:r w:rsidRPr="00DC5514">
        <w:rPr>
          <w:rFonts w:ascii="Arial" w:hAnsi="Arial" w:cs="Arial"/>
        </w:rPr>
        <w:t xml:space="preserve"> is required for an organisation to be deemed as delivering </w:t>
      </w:r>
      <w:r>
        <w:rPr>
          <w:rFonts w:ascii="Arial" w:hAnsi="Arial" w:cs="Arial"/>
        </w:rPr>
        <w:t>community</w:t>
      </w:r>
      <w:r w:rsidRPr="00DC5514">
        <w:rPr>
          <w:rFonts w:ascii="Arial" w:hAnsi="Arial" w:cs="Arial"/>
        </w:rPr>
        <w:t xml:space="preserve"> value.</w:t>
      </w:r>
    </w:p>
    <w:p w14:paraId="19D1F20E" w14:textId="77777777" w:rsidR="008500DA" w:rsidRPr="00DC5514" w:rsidRDefault="008500DA" w:rsidP="008500DA">
      <w:pPr>
        <w:pStyle w:val="ListParagraph"/>
        <w:rPr>
          <w:rFonts w:ascii="Arial" w:hAnsi="Arial" w:cs="Arial"/>
        </w:rPr>
      </w:pPr>
    </w:p>
    <w:p w14:paraId="47396FB0" w14:textId="024A785D" w:rsidR="00902B35" w:rsidRPr="00902B35" w:rsidRDefault="008500DA" w:rsidP="00902B35">
      <w:pPr>
        <w:pStyle w:val="ListParagraph"/>
        <w:numPr>
          <w:ilvl w:val="1"/>
          <w:numId w:val="5"/>
        </w:numPr>
        <w:ind w:left="0"/>
        <w:jc w:val="both"/>
        <w:rPr>
          <w:rFonts w:ascii="Arial" w:hAnsi="Arial" w:cs="Arial"/>
        </w:rPr>
      </w:pPr>
      <w:r w:rsidRPr="00DC5514">
        <w:rPr>
          <w:rFonts w:ascii="Arial" w:hAnsi="Arial" w:cs="Arial"/>
        </w:rPr>
        <w:t>Decisions in respect of which band of contribution will be applied in any given case will predominantly take account of the above</w:t>
      </w:r>
      <w:r>
        <w:rPr>
          <w:rFonts w:ascii="Arial" w:hAnsi="Arial" w:cs="Arial"/>
        </w:rPr>
        <w:t>.</w:t>
      </w:r>
      <w:r w:rsidRPr="00DC5514">
        <w:rPr>
          <w:rFonts w:ascii="Arial" w:hAnsi="Arial" w:cs="Arial"/>
        </w:rPr>
        <w:t xml:space="preserve"> </w:t>
      </w:r>
      <w:r w:rsidR="00902B35" w:rsidRPr="00B23F18">
        <w:rPr>
          <w:rFonts w:ascii="Arial" w:hAnsi="Arial" w:cs="Arial"/>
        </w:rPr>
        <w:t>Following detailed discussions with the winning bidder the council may opt to agree a rate of rent reduction not stated in Table 2.</w:t>
      </w:r>
      <w:r w:rsidR="00902B35">
        <w:rPr>
          <w:rFonts w:ascii="Arial" w:hAnsi="Arial" w:cs="Arial"/>
        </w:rPr>
        <w:t xml:space="preserve"> </w:t>
      </w:r>
      <w:r w:rsidRPr="00DC5514">
        <w:rPr>
          <w:rFonts w:ascii="Arial" w:hAnsi="Arial" w:cs="Arial"/>
        </w:rPr>
        <w:t>Other factors which may impact on decisions may include existing partnership arrangements with the Council and the Council’s own financial and budget position.</w:t>
      </w:r>
    </w:p>
    <w:p w14:paraId="36149BA5" w14:textId="77777777" w:rsidR="008500DA" w:rsidRPr="008500DA" w:rsidRDefault="008500DA" w:rsidP="008500DA">
      <w:pPr>
        <w:pStyle w:val="ListParagraph"/>
        <w:rPr>
          <w:rFonts w:ascii="Arial" w:hAnsi="Arial" w:cs="Arial"/>
        </w:rPr>
      </w:pPr>
    </w:p>
    <w:p w14:paraId="296955BE" w14:textId="77777777" w:rsidR="00B707AD" w:rsidRDefault="008500DA" w:rsidP="00B707AD">
      <w:pPr>
        <w:pStyle w:val="ListParagraph"/>
        <w:numPr>
          <w:ilvl w:val="1"/>
          <w:numId w:val="5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500DA">
        <w:rPr>
          <w:rFonts w:ascii="Arial" w:hAnsi="Arial" w:cs="Arial"/>
        </w:rPr>
        <w:t>The final decision will be wholly at the discretion of the Council, with no appeal process at this stage</w:t>
      </w:r>
      <w:r w:rsidR="00B707AD">
        <w:rPr>
          <w:rFonts w:ascii="Arial" w:hAnsi="Arial" w:cs="Arial"/>
        </w:rPr>
        <w:t>.</w:t>
      </w:r>
    </w:p>
    <w:p w14:paraId="490B1D89" w14:textId="77777777" w:rsidR="00B707AD" w:rsidRPr="00B707AD" w:rsidRDefault="00B707AD" w:rsidP="00B707AD">
      <w:pPr>
        <w:pStyle w:val="ListParagraph"/>
        <w:rPr>
          <w:rFonts w:ascii="Arial" w:hAnsi="Arial" w:cs="Arial"/>
        </w:rPr>
      </w:pPr>
    </w:p>
    <w:p w14:paraId="792A54CD" w14:textId="0E72FA1D" w:rsidR="008500DA" w:rsidRDefault="008500DA" w:rsidP="00B707AD">
      <w:pPr>
        <w:pStyle w:val="ListParagraph"/>
        <w:numPr>
          <w:ilvl w:val="1"/>
          <w:numId w:val="5"/>
        </w:numPr>
        <w:ind w:left="0"/>
        <w:jc w:val="both"/>
        <w:rPr>
          <w:rFonts w:ascii="Arial" w:hAnsi="Arial" w:cs="Arial"/>
        </w:rPr>
      </w:pPr>
      <w:r w:rsidRPr="00B707AD">
        <w:rPr>
          <w:rFonts w:ascii="Arial" w:hAnsi="Arial" w:cs="Arial"/>
        </w:rPr>
        <w:t xml:space="preserve">Outcomes and KPI’s of the winning bidder will be included in the </w:t>
      </w:r>
      <w:r w:rsidR="00295021">
        <w:rPr>
          <w:rFonts w:ascii="Arial" w:hAnsi="Arial" w:cs="Arial"/>
        </w:rPr>
        <w:t>Lease. T</w:t>
      </w:r>
      <w:r w:rsidRPr="00B707AD">
        <w:rPr>
          <w:rFonts w:ascii="Arial" w:hAnsi="Arial" w:cs="Arial"/>
        </w:rPr>
        <w:t xml:space="preserve">he successful Tenant will be required to provide annual monitoring and evidence demonstrating </w:t>
      </w:r>
      <w:r w:rsidR="00D66381">
        <w:rPr>
          <w:rFonts w:ascii="Arial" w:hAnsi="Arial" w:cs="Arial"/>
        </w:rPr>
        <w:t>delivery against these.</w:t>
      </w:r>
    </w:p>
    <w:p w14:paraId="3E210AC7" w14:textId="77777777" w:rsidR="008070AA" w:rsidRPr="008070AA" w:rsidRDefault="008070AA" w:rsidP="008070AA">
      <w:pPr>
        <w:pStyle w:val="ListParagraph"/>
        <w:rPr>
          <w:rFonts w:ascii="Arial" w:hAnsi="Arial" w:cs="Arial"/>
        </w:rPr>
      </w:pPr>
    </w:p>
    <w:p w14:paraId="50E36185" w14:textId="38CDFAAB" w:rsidR="008070AA" w:rsidRPr="00B707AD" w:rsidRDefault="008070AA" w:rsidP="00B707AD">
      <w:pPr>
        <w:pStyle w:val="ListParagraph"/>
        <w:numPr>
          <w:ilvl w:val="1"/>
          <w:numId w:val="5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relating to this process, please get in touch </w:t>
      </w:r>
      <w:r w:rsidRPr="007340D9">
        <w:rPr>
          <w:rFonts w:ascii="Arial" w:hAnsi="Arial" w:cs="Arial"/>
        </w:rPr>
        <w:t xml:space="preserve">with </w:t>
      </w:r>
      <w:r w:rsidR="007340D9" w:rsidRPr="007340D9">
        <w:rPr>
          <w:rFonts w:ascii="Arial" w:hAnsi="Arial" w:cs="Arial"/>
        </w:rPr>
        <w:t>the contact email stated on the advert.</w:t>
      </w:r>
      <w:r w:rsidR="007340D9" w:rsidRPr="007340D9">
        <w:rPr>
          <w:rFonts w:ascii="Arial" w:hAnsi="Arial" w:cs="Arial"/>
          <w:b/>
          <w:bCs/>
        </w:rPr>
        <w:t xml:space="preserve"> </w:t>
      </w:r>
      <w:r w:rsidR="004A2EBE">
        <w:rPr>
          <w:rFonts w:ascii="Arial" w:hAnsi="Arial" w:cs="Arial"/>
        </w:rPr>
        <w:t>N</w:t>
      </w:r>
      <w:r>
        <w:rPr>
          <w:rFonts w:ascii="Arial" w:hAnsi="Arial" w:cs="Arial"/>
        </w:rPr>
        <w:t>ote</w:t>
      </w:r>
      <w:r w:rsidR="00D62D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queries and clarifications will be accepted up u</w:t>
      </w:r>
      <w:r w:rsidR="004A2EBE">
        <w:rPr>
          <w:rFonts w:ascii="Arial" w:hAnsi="Arial" w:cs="Arial"/>
        </w:rPr>
        <w:t>ntil 1 week before the submission deadline.</w:t>
      </w:r>
    </w:p>
    <w:p w14:paraId="5A702858" w14:textId="77777777" w:rsidR="008500DA" w:rsidRPr="008500DA" w:rsidRDefault="008500DA" w:rsidP="008500DA">
      <w:pPr>
        <w:jc w:val="center"/>
        <w:rPr>
          <w:rFonts w:ascii="Arial" w:hAnsi="Arial" w:cs="Arial"/>
          <w:sz w:val="24"/>
          <w:szCs w:val="24"/>
        </w:rPr>
      </w:pPr>
    </w:p>
    <w:sectPr w:rsidR="008500DA" w:rsidRPr="008500DA" w:rsidSect="00B50294">
      <w:headerReference w:type="default" r:id="rId11"/>
      <w:footerReference w:type="default" r:id="rId12"/>
      <w:pgSz w:w="11906" w:h="16838"/>
      <w:pgMar w:top="1440" w:right="1440" w:bottom="1440" w:left="1440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5053" w14:textId="77777777" w:rsidR="00661D32" w:rsidRDefault="00661D32" w:rsidP="001670EE">
      <w:pPr>
        <w:spacing w:after="0" w:line="240" w:lineRule="auto"/>
      </w:pPr>
      <w:r>
        <w:separator/>
      </w:r>
    </w:p>
  </w:endnote>
  <w:endnote w:type="continuationSeparator" w:id="0">
    <w:p w14:paraId="6D59784B" w14:textId="77777777" w:rsidR="00661D32" w:rsidRDefault="00661D32" w:rsidP="0016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247B" w14:textId="623F5D75" w:rsidR="00B50294" w:rsidRPr="00C20496" w:rsidRDefault="00B50294" w:rsidP="00B50294">
    <w:pPr>
      <w:jc w:val="both"/>
      <w:rPr>
        <w:rFonts w:ascii="Arial" w:hAnsi="Arial" w:cs="Arial"/>
        <w:sz w:val="20"/>
        <w:szCs w:val="20"/>
      </w:rPr>
    </w:pPr>
  </w:p>
  <w:p w14:paraId="5A383FDF" w14:textId="77777777" w:rsidR="00B50294" w:rsidRDefault="00B50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AB8B" w14:textId="77777777" w:rsidR="00661D32" w:rsidRDefault="00661D32" w:rsidP="001670EE">
      <w:pPr>
        <w:spacing w:after="0" w:line="240" w:lineRule="auto"/>
      </w:pPr>
      <w:r>
        <w:separator/>
      </w:r>
    </w:p>
  </w:footnote>
  <w:footnote w:type="continuationSeparator" w:id="0">
    <w:p w14:paraId="39D50268" w14:textId="77777777" w:rsidR="00661D32" w:rsidRDefault="00661D32" w:rsidP="001670EE">
      <w:pPr>
        <w:spacing w:after="0" w:line="240" w:lineRule="auto"/>
      </w:pPr>
      <w:r>
        <w:continuationSeparator/>
      </w:r>
    </w:p>
  </w:footnote>
  <w:footnote w:id="1">
    <w:p w14:paraId="7BF7346B" w14:textId="210A8C5C" w:rsidR="007D24AD" w:rsidRDefault="007D24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87999" w:rsidRPr="00F32EC5">
        <w:rPr>
          <w:rFonts w:ascii="Arial" w:hAnsi="Arial" w:cs="Arial"/>
        </w:rPr>
        <w:t xml:space="preserve">This framework is currently being trialled and applies to select </w:t>
      </w:r>
      <w:r w:rsidR="00787999">
        <w:rPr>
          <w:rFonts w:ascii="Arial" w:hAnsi="Arial" w:cs="Arial"/>
        </w:rPr>
        <w:t xml:space="preserve">new </w:t>
      </w:r>
      <w:r w:rsidR="00787999" w:rsidRPr="00F32EC5">
        <w:rPr>
          <w:rFonts w:ascii="Arial" w:hAnsi="Arial" w:cs="Arial"/>
        </w:rPr>
        <w:t>lettings only. This document relates to the community space at Roy Smith House, 71 Hillside, NW10 8LN</w:t>
      </w:r>
      <w:r w:rsidR="00787999">
        <w:rPr>
          <w:rFonts w:ascii="Arial" w:hAnsi="Arial" w:cs="Arial"/>
        </w:rPr>
        <w:t>,</w:t>
      </w:r>
      <w:r w:rsidR="00787999" w:rsidRPr="00D34F96">
        <w:rPr>
          <w:rFonts w:ascii="Arial" w:hAnsi="Arial" w:cs="Arial"/>
        </w:rPr>
        <w:t xml:space="preserve"> Picture Palace, 26 Manor Park Road, Harlesden, London, NW10 4JJ</w:t>
      </w:r>
      <w:r w:rsidR="00787999">
        <w:rPr>
          <w:rFonts w:ascii="Arial" w:hAnsi="Arial" w:cs="Arial"/>
        </w:rPr>
        <w:t xml:space="preserve"> and the kitchen, serving and dining area at Brent Civic Centre, </w:t>
      </w:r>
      <w:r w:rsidR="00787999" w:rsidRPr="00E6418F">
        <w:rPr>
          <w:rFonts w:ascii="Arial" w:hAnsi="Arial" w:cs="Arial"/>
        </w:rPr>
        <w:t>HA9 0FJ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0838" w14:textId="1C159D44" w:rsidR="001670EE" w:rsidRDefault="001670EE" w:rsidP="001670EE">
    <w:pPr>
      <w:pStyle w:val="Header"/>
    </w:pPr>
    <w:r>
      <w:t xml:space="preserve">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AE243BF" wp14:editId="554DE355">
          <wp:extent cx="1190080" cy="462809"/>
          <wp:effectExtent l="0" t="0" r="0" b="0"/>
          <wp:docPr id="8368596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823" cy="482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878"/>
    <w:multiLevelType w:val="multilevel"/>
    <w:tmpl w:val="16A87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CB0AA5"/>
    <w:multiLevelType w:val="hybridMultilevel"/>
    <w:tmpl w:val="F9B6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809D6"/>
    <w:multiLevelType w:val="multilevel"/>
    <w:tmpl w:val="DC4CFB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45B1C32"/>
    <w:multiLevelType w:val="hybridMultilevel"/>
    <w:tmpl w:val="BF560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C4AF8"/>
    <w:multiLevelType w:val="multilevel"/>
    <w:tmpl w:val="967A41EE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64" w:hanging="1800"/>
      </w:pPr>
      <w:rPr>
        <w:rFonts w:hint="default"/>
      </w:rPr>
    </w:lvl>
  </w:abstractNum>
  <w:num w:numId="1" w16cid:durableId="97874450">
    <w:abstractNumId w:val="0"/>
  </w:num>
  <w:num w:numId="2" w16cid:durableId="1522939783">
    <w:abstractNumId w:val="3"/>
  </w:num>
  <w:num w:numId="3" w16cid:durableId="1545020219">
    <w:abstractNumId w:val="1"/>
  </w:num>
  <w:num w:numId="4" w16cid:durableId="1601839929">
    <w:abstractNumId w:val="4"/>
  </w:num>
  <w:num w:numId="5" w16cid:durableId="2116779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DA"/>
    <w:rsid w:val="000335C6"/>
    <w:rsid w:val="0003401E"/>
    <w:rsid w:val="00100EFD"/>
    <w:rsid w:val="001670EE"/>
    <w:rsid w:val="001C38E0"/>
    <w:rsid w:val="001E25FB"/>
    <w:rsid w:val="0021644C"/>
    <w:rsid w:val="00225E6B"/>
    <w:rsid w:val="00276B34"/>
    <w:rsid w:val="00295021"/>
    <w:rsid w:val="00330667"/>
    <w:rsid w:val="003D4953"/>
    <w:rsid w:val="003D57C6"/>
    <w:rsid w:val="00473920"/>
    <w:rsid w:val="004773C3"/>
    <w:rsid w:val="004A2EBE"/>
    <w:rsid w:val="004C1BBA"/>
    <w:rsid w:val="00533A77"/>
    <w:rsid w:val="00555DC8"/>
    <w:rsid w:val="005C57EA"/>
    <w:rsid w:val="0064718F"/>
    <w:rsid w:val="00661D32"/>
    <w:rsid w:val="006A2E4F"/>
    <w:rsid w:val="007340D9"/>
    <w:rsid w:val="007858C2"/>
    <w:rsid w:val="00785DA1"/>
    <w:rsid w:val="00787999"/>
    <w:rsid w:val="007D24AD"/>
    <w:rsid w:val="008070AA"/>
    <w:rsid w:val="008500DA"/>
    <w:rsid w:val="008D351D"/>
    <w:rsid w:val="00902B35"/>
    <w:rsid w:val="00952D21"/>
    <w:rsid w:val="00A1285D"/>
    <w:rsid w:val="00AC4178"/>
    <w:rsid w:val="00B23F18"/>
    <w:rsid w:val="00B50294"/>
    <w:rsid w:val="00B707AD"/>
    <w:rsid w:val="00C66CCB"/>
    <w:rsid w:val="00CC41E1"/>
    <w:rsid w:val="00CD272A"/>
    <w:rsid w:val="00CE343F"/>
    <w:rsid w:val="00D00C1F"/>
    <w:rsid w:val="00D62DEF"/>
    <w:rsid w:val="00D66381"/>
    <w:rsid w:val="00DA7AF8"/>
    <w:rsid w:val="00E13BA3"/>
    <w:rsid w:val="00F032BA"/>
    <w:rsid w:val="00F116A8"/>
    <w:rsid w:val="00F30432"/>
    <w:rsid w:val="00F514C3"/>
    <w:rsid w:val="00F5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D748"/>
  <w15:chartTrackingRefBased/>
  <w15:docId w15:val="{C5F27894-2B29-46BD-9D70-B496764A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0DA"/>
    <w:pPr>
      <w:ind w:left="720"/>
      <w:contextualSpacing/>
    </w:pPr>
  </w:style>
  <w:style w:type="table" w:styleId="TableGrid">
    <w:name w:val="Table Grid"/>
    <w:basedOn w:val="TableNormal"/>
    <w:uiPriority w:val="39"/>
    <w:rsid w:val="008500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0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0D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00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0EE"/>
  </w:style>
  <w:style w:type="paragraph" w:styleId="Footer">
    <w:name w:val="footer"/>
    <w:basedOn w:val="Normal"/>
    <w:link w:val="FooterChar"/>
    <w:uiPriority w:val="99"/>
    <w:unhideWhenUsed/>
    <w:rsid w:val="00167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0EE"/>
  </w:style>
  <w:style w:type="character" w:styleId="FollowedHyperlink">
    <w:name w:val="FollowedHyperlink"/>
    <w:basedOn w:val="DefaultParagraphFont"/>
    <w:uiPriority w:val="99"/>
    <w:semiHidden/>
    <w:unhideWhenUsed/>
    <w:rsid w:val="00A1285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24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4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24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cy.brent.gov.uk/media/16420668/brent_health_and_wellbeing_strategy.pdf?_ga=2.12821171.586318469.1732199103-1677223408.164183283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cy.brent.gov.uk/media/16420610/brent_borough_plan_23-27_web.pdf?_ga=2.111117120.436232023.1730395828-1677223408.164183283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ata.brent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cy.brent.gov.uk/media/16421156/brent-equity-diversity-and-inclusion-strategy-2024-28-digital-version-v2.pdf?_ga=2.116649346.586318469.1732199103-1677223408.164183283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Portalska, Marta</dc:creator>
  <cp:keywords/>
  <dc:description/>
  <cp:lastModifiedBy>Vara, Sveta</cp:lastModifiedBy>
  <cp:revision>2</cp:revision>
  <dcterms:created xsi:type="dcterms:W3CDTF">2025-02-17T16:01:00Z</dcterms:created>
  <dcterms:modified xsi:type="dcterms:W3CDTF">2025-02-17T16:01:00Z</dcterms:modified>
</cp:coreProperties>
</file>