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F3" w:rsidRPr="00A11A7D" w:rsidRDefault="000976F3" w:rsidP="000302D9">
      <w:pPr>
        <w:pStyle w:val="Heading1"/>
        <w:rPr>
          <w:rFonts w:ascii="Arial" w:hAnsi="Arial" w:cs="Arial"/>
          <w:b/>
          <w:color w:val="auto"/>
          <w:sz w:val="24"/>
          <w:szCs w:val="24"/>
        </w:rPr>
      </w:pPr>
      <w:r w:rsidRPr="00A11A7D">
        <w:rPr>
          <w:rFonts w:ascii="Arial" w:hAnsi="Arial" w:cs="Arial"/>
          <w:b/>
          <w:color w:val="auto"/>
          <w:sz w:val="24"/>
          <w:szCs w:val="24"/>
        </w:rPr>
        <w:t xml:space="preserve">Kilburn Square Development Proposals </w:t>
      </w:r>
      <w:bookmarkStart w:id="0" w:name="_GoBack"/>
      <w:bookmarkEnd w:id="0"/>
    </w:p>
    <w:p w:rsidR="005D27E2" w:rsidRPr="00A11A7D" w:rsidRDefault="000976F3" w:rsidP="000302D9">
      <w:pPr>
        <w:pStyle w:val="Heading1"/>
        <w:rPr>
          <w:rFonts w:ascii="Arial" w:hAnsi="Arial" w:cs="Arial"/>
          <w:b/>
          <w:color w:val="auto"/>
          <w:sz w:val="24"/>
          <w:szCs w:val="24"/>
        </w:rPr>
      </w:pPr>
      <w:r w:rsidRPr="00A11A7D">
        <w:rPr>
          <w:rFonts w:ascii="Arial" w:hAnsi="Arial" w:cs="Arial"/>
          <w:b/>
          <w:color w:val="auto"/>
          <w:sz w:val="24"/>
          <w:szCs w:val="24"/>
        </w:rPr>
        <w:t>Summary of Design Options Feedback (October 2021 – January 2022)</w:t>
      </w:r>
    </w:p>
    <w:p w:rsidR="000976F3" w:rsidRDefault="000976F3" w:rsidP="000302D9">
      <w:pPr>
        <w:pStyle w:val="Heading2"/>
        <w:rPr>
          <w:rFonts w:ascii="Arial" w:hAnsi="Arial" w:cs="Arial"/>
          <w:color w:val="auto"/>
          <w:sz w:val="24"/>
          <w:szCs w:val="24"/>
        </w:rPr>
      </w:pPr>
      <w:r w:rsidRPr="00A11A7D">
        <w:rPr>
          <w:rFonts w:ascii="Arial" w:hAnsi="Arial" w:cs="Arial"/>
          <w:b/>
          <w:color w:val="auto"/>
          <w:sz w:val="24"/>
          <w:szCs w:val="24"/>
        </w:rPr>
        <w:t>Introduction</w:t>
      </w:r>
    </w:p>
    <w:p w:rsidR="00A11A7D" w:rsidRPr="00A11A7D" w:rsidRDefault="00A11A7D" w:rsidP="00A11A7D"/>
    <w:p w:rsidR="000976F3" w:rsidRPr="00A11A7D" w:rsidRDefault="000976F3" w:rsidP="000976F3">
      <w:pPr>
        <w:rPr>
          <w:rFonts w:ascii="Arial" w:hAnsi="Arial" w:cs="Arial"/>
          <w:sz w:val="24"/>
          <w:szCs w:val="24"/>
        </w:rPr>
      </w:pPr>
      <w:r w:rsidRPr="00A11A7D">
        <w:rPr>
          <w:rFonts w:ascii="Arial" w:hAnsi="Arial" w:cs="Arial"/>
          <w:sz w:val="24"/>
          <w:szCs w:val="24"/>
        </w:rPr>
        <w:t xml:space="preserve">The engagement process on Kilburn Square began in </w:t>
      </w:r>
      <w:r w:rsidR="000302D9" w:rsidRPr="00A11A7D">
        <w:rPr>
          <w:rFonts w:ascii="Arial" w:hAnsi="Arial" w:cs="Arial"/>
          <w:sz w:val="24"/>
          <w:szCs w:val="24"/>
        </w:rPr>
        <w:t>autumn</w:t>
      </w:r>
      <w:r w:rsidRPr="00A11A7D">
        <w:rPr>
          <w:rFonts w:ascii="Arial" w:hAnsi="Arial" w:cs="Arial"/>
          <w:sz w:val="24"/>
          <w:szCs w:val="24"/>
        </w:rPr>
        <w:t xml:space="preserve"> 2020. This included Resident Panel meetings, questionnaires, an in-person exhibition, our market stall drop in and monthly newsletters. Over summer 2021, we increased this engagement because we wanted to hear from as many residents as possible. </w:t>
      </w:r>
    </w:p>
    <w:p w:rsidR="000976F3" w:rsidRPr="00A11A7D" w:rsidRDefault="000976F3" w:rsidP="000976F3">
      <w:pPr>
        <w:rPr>
          <w:rFonts w:ascii="Arial" w:hAnsi="Arial" w:cs="Arial"/>
          <w:sz w:val="24"/>
          <w:szCs w:val="24"/>
        </w:rPr>
      </w:pPr>
      <w:r w:rsidRPr="00A11A7D">
        <w:rPr>
          <w:rFonts w:ascii="Arial" w:hAnsi="Arial" w:cs="Arial"/>
          <w:sz w:val="24"/>
          <w:szCs w:val="24"/>
        </w:rPr>
        <w:t>We also held several virtual meetings and your Independent Advisors, Source Partnership, knocked on every door on the estate to gather your views.</w:t>
      </w:r>
    </w:p>
    <w:p w:rsidR="000976F3" w:rsidRPr="00A11A7D" w:rsidRDefault="000976F3" w:rsidP="000976F3">
      <w:pPr>
        <w:rPr>
          <w:rFonts w:ascii="Arial" w:hAnsi="Arial" w:cs="Arial"/>
          <w:sz w:val="24"/>
          <w:szCs w:val="24"/>
        </w:rPr>
      </w:pPr>
      <w:r w:rsidRPr="00A11A7D">
        <w:rPr>
          <w:rFonts w:ascii="Arial" w:hAnsi="Arial" w:cs="Arial"/>
          <w:sz w:val="24"/>
          <w:szCs w:val="24"/>
        </w:rPr>
        <w:t>In your feedback to us over the summer, you told us that you were concerned about the height of the proposed new tower, the amount of open and amenity space and the impact of the new homes on existing services.</w:t>
      </w:r>
    </w:p>
    <w:p w:rsidR="000976F3" w:rsidRPr="00A11A7D" w:rsidRDefault="000976F3" w:rsidP="000302D9">
      <w:pPr>
        <w:pStyle w:val="Heading2"/>
        <w:rPr>
          <w:rFonts w:ascii="Arial" w:hAnsi="Arial" w:cs="Arial"/>
          <w:b/>
          <w:color w:val="auto"/>
          <w:sz w:val="24"/>
          <w:szCs w:val="24"/>
        </w:rPr>
      </w:pPr>
      <w:r w:rsidRPr="00A11A7D">
        <w:rPr>
          <w:rFonts w:ascii="Arial" w:hAnsi="Arial" w:cs="Arial"/>
          <w:b/>
          <w:color w:val="auto"/>
          <w:sz w:val="24"/>
          <w:szCs w:val="24"/>
        </w:rPr>
        <w:t xml:space="preserve">Consultation </w:t>
      </w:r>
    </w:p>
    <w:p w:rsidR="000976F3" w:rsidRPr="00A11A7D" w:rsidRDefault="000976F3" w:rsidP="000976F3">
      <w:pPr>
        <w:rPr>
          <w:rFonts w:ascii="Arial" w:hAnsi="Arial" w:cs="Arial"/>
          <w:sz w:val="24"/>
          <w:szCs w:val="24"/>
        </w:rPr>
      </w:pPr>
      <w:r w:rsidRPr="00A11A7D">
        <w:rPr>
          <w:rFonts w:ascii="Arial" w:hAnsi="Arial" w:cs="Arial"/>
          <w:sz w:val="24"/>
          <w:szCs w:val="24"/>
        </w:rPr>
        <w:t>In October 2021 we held two design events to present five outline design options to you, all with reduced height(s) and had fewer new homes.</w:t>
      </w:r>
    </w:p>
    <w:p w:rsidR="000976F3" w:rsidRPr="00A11A7D" w:rsidRDefault="000976F3" w:rsidP="000976F3">
      <w:pPr>
        <w:rPr>
          <w:rFonts w:ascii="Arial" w:hAnsi="Arial" w:cs="Arial"/>
          <w:sz w:val="24"/>
          <w:szCs w:val="24"/>
        </w:rPr>
      </w:pPr>
      <w:r w:rsidRPr="00A11A7D">
        <w:rPr>
          <w:rFonts w:ascii="Arial" w:hAnsi="Arial" w:cs="Arial"/>
          <w:sz w:val="24"/>
          <w:szCs w:val="24"/>
        </w:rPr>
        <w:t>12.6% of households (34) from the estate attended the sessions held over two days. The 34 households that attended were made up of 21 council tenants and 13 leaseholders. 7 stakeholders also attended these sessions.</w:t>
      </w:r>
    </w:p>
    <w:p w:rsidR="000976F3" w:rsidRPr="00A11A7D" w:rsidRDefault="000976F3" w:rsidP="000976F3">
      <w:pPr>
        <w:rPr>
          <w:rFonts w:ascii="Arial" w:hAnsi="Arial" w:cs="Arial"/>
          <w:sz w:val="24"/>
          <w:szCs w:val="24"/>
        </w:rPr>
      </w:pPr>
      <w:r w:rsidRPr="00A11A7D">
        <w:rPr>
          <w:rFonts w:ascii="Arial" w:hAnsi="Arial" w:cs="Arial"/>
          <w:sz w:val="24"/>
          <w:szCs w:val="24"/>
        </w:rPr>
        <w:t xml:space="preserve">The team listened to what people liked and didn't like about the five options and residents who came to the workshops chose two designs, option A and option E, for further development by the team. </w:t>
      </w:r>
    </w:p>
    <w:p w:rsidR="000302D9" w:rsidRPr="00A11A7D" w:rsidRDefault="000976F3" w:rsidP="000976F3">
      <w:pPr>
        <w:rPr>
          <w:rFonts w:ascii="Arial" w:hAnsi="Arial" w:cs="Arial"/>
          <w:sz w:val="24"/>
          <w:szCs w:val="24"/>
        </w:rPr>
      </w:pPr>
      <w:r w:rsidRPr="00A11A7D">
        <w:rPr>
          <w:rFonts w:ascii="Arial" w:hAnsi="Arial" w:cs="Arial"/>
          <w:sz w:val="24"/>
          <w:szCs w:val="24"/>
        </w:rPr>
        <w:t>Throughout October 2021, residents were invited to share their views with us</w:t>
      </w:r>
      <w:r w:rsidR="00A11A7D">
        <w:rPr>
          <w:rFonts w:ascii="Arial" w:hAnsi="Arial" w:cs="Arial"/>
          <w:sz w:val="24"/>
          <w:szCs w:val="24"/>
        </w:rPr>
        <w:t>.</w:t>
      </w:r>
    </w:p>
    <w:p w:rsidR="000976F3" w:rsidRPr="00A11A7D" w:rsidRDefault="000976F3" w:rsidP="000976F3">
      <w:pPr>
        <w:rPr>
          <w:rFonts w:ascii="Arial" w:hAnsi="Arial" w:cs="Arial"/>
          <w:sz w:val="24"/>
          <w:szCs w:val="24"/>
        </w:rPr>
      </w:pPr>
      <w:r w:rsidRPr="00A11A7D">
        <w:rPr>
          <w:rFonts w:ascii="Arial" w:hAnsi="Arial" w:cs="Arial"/>
          <w:sz w:val="24"/>
          <w:szCs w:val="24"/>
        </w:rPr>
        <w:t xml:space="preserve">Further design events took place in November, where we presented more detailed designs of the two preferred options. This included information on heights of each block, unit numbers and density of each option plus more detail on the landscaping and amenity spaces. </w:t>
      </w:r>
    </w:p>
    <w:p w:rsidR="000976F3" w:rsidRPr="00A11A7D" w:rsidRDefault="000976F3" w:rsidP="000976F3">
      <w:pPr>
        <w:rPr>
          <w:rFonts w:ascii="Arial" w:hAnsi="Arial" w:cs="Arial"/>
          <w:sz w:val="24"/>
          <w:szCs w:val="24"/>
        </w:rPr>
      </w:pPr>
      <w:r w:rsidRPr="00A11A7D">
        <w:rPr>
          <w:rFonts w:ascii="Arial" w:hAnsi="Arial" w:cs="Arial"/>
          <w:sz w:val="24"/>
          <w:szCs w:val="24"/>
        </w:rPr>
        <w:t xml:space="preserve">As we did not speak </w:t>
      </w:r>
      <w:proofErr w:type="gramStart"/>
      <w:r w:rsidRPr="00A11A7D">
        <w:rPr>
          <w:rFonts w:ascii="Arial" w:hAnsi="Arial" w:cs="Arial"/>
          <w:sz w:val="24"/>
          <w:szCs w:val="24"/>
        </w:rPr>
        <w:t>to</w:t>
      </w:r>
      <w:proofErr w:type="gramEnd"/>
      <w:r w:rsidRPr="00A11A7D">
        <w:rPr>
          <w:rFonts w:ascii="Arial" w:hAnsi="Arial" w:cs="Arial"/>
          <w:sz w:val="24"/>
          <w:szCs w:val="24"/>
        </w:rPr>
        <w:t xml:space="preserve"> many of you in November, we provided further opportunities for you to talk to us about the design proposals: a door knocking across the estate was carried out in late November/early December. Residents were also able to email or call us with their feedback or speak to Source about the designs. We also held a drop-in session at the market stall in early December 2021.</w:t>
      </w:r>
    </w:p>
    <w:p w:rsidR="000976F3" w:rsidRPr="00A11A7D" w:rsidRDefault="000976F3" w:rsidP="000976F3">
      <w:pPr>
        <w:rPr>
          <w:rFonts w:ascii="Arial" w:hAnsi="Arial" w:cs="Arial"/>
          <w:sz w:val="24"/>
          <w:szCs w:val="24"/>
        </w:rPr>
      </w:pPr>
      <w:r w:rsidRPr="00A11A7D">
        <w:rPr>
          <w:rFonts w:ascii="Arial" w:hAnsi="Arial" w:cs="Arial"/>
          <w:sz w:val="24"/>
          <w:szCs w:val="24"/>
        </w:rPr>
        <w:t xml:space="preserve">Out of the 270 households on the estate, we managed to door knock 241 households. </w:t>
      </w:r>
    </w:p>
    <w:p w:rsidR="000976F3" w:rsidRPr="00A11A7D" w:rsidRDefault="000976F3" w:rsidP="000976F3">
      <w:pPr>
        <w:rPr>
          <w:rFonts w:ascii="Arial" w:hAnsi="Arial" w:cs="Arial"/>
          <w:sz w:val="24"/>
          <w:szCs w:val="24"/>
        </w:rPr>
      </w:pPr>
      <w:r w:rsidRPr="00A11A7D">
        <w:rPr>
          <w:rFonts w:ascii="Arial" w:hAnsi="Arial" w:cs="Arial"/>
          <w:sz w:val="24"/>
          <w:szCs w:val="24"/>
        </w:rPr>
        <w:t xml:space="preserve">We spoke to 89 households (33%) but 152 households were not in when we knocked. </w:t>
      </w:r>
    </w:p>
    <w:p w:rsidR="000976F3" w:rsidRPr="00A11A7D" w:rsidRDefault="000976F3" w:rsidP="000976F3">
      <w:pPr>
        <w:rPr>
          <w:rFonts w:ascii="Arial" w:hAnsi="Arial" w:cs="Arial"/>
          <w:sz w:val="24"/>
          <w:szCs w:val="24"/>
        </w:rPr>
      </w:pPr>
      <w:r w:rsidRPr="00A11A7D">
        <w:rPr>
          <w:rFonts w:ascii="Arial" w:hAnsi="Arial" w:cs="Arial"/>
          <w:sz w:val="24"/>
          <w:szCs w:val="24"/>
        </w:rPr>
        <w:t>We also tried to knock again to at least 50% of the properties that were not in when we door knocked the first time.</w:t>
      </w:r>
    </w:p>
    <w:p w:rsidR="000976F3" w:rsidRPr="00A11A7D" w:rsidRDefault="000976F3" w:rsidP="000976F3">
      <w:pPr>
        <w:rPr>
          <w:rFonts w:ascii="Arial" w:hAnsi="Arial" w:cs="Arial"/>
          <w:sz w:val="24"/>
          <w:szCs w:val="24"/>
        </w:rPr>
      </w:pPr>
      <w:r w:rsidRPr="00A11A7D">
        <w:rPr>
          <w:rFonts w:ascii="Arial" w:hAnsi="Arial" w:cs="Arial"/>
          <w:sz w:val="24"/>
          <w:szCs w:val="24"/>
        </w:rPr>
        <w:lastRenderedPageBreak/>
        <w:t xml:space="preserve">34 of the 89 households we spoke to, expressed a preference for option E.  </w:t>
      </w:r>
    </w:p>
    <w:p w:rsidR="000976F3" w:rsidRPr="00A11A7D" w:rsidRDefault="000976F3" w:rsidP="000976F3">
      <w:pPr>
        <w:rPr>
          <w:rFonts w:ascii="Arial" w:hAnsi="Arial" w:cs="Arial"/>
          <w:sz w:val="24"/>
          <w:szCs w:val="24"/>
        </w:rPr>
      </w:pPr>
      <w:r w:rsidRPr="00A11A7D">
        <w:rPr>
          <w:rFonts w:ascii="Arial" w:hAnsi="Arial" w:cs="Arial"/>
          <w:sz w:val="24"/>
          <w:szCs w:val="24"/>
        </w:rPr>
        <w:t>20 households stated that their preference was option A.</w:t>
      </w:r>
    </w:p>
    <w:p w:rsidR="000976F3" w:rsidRPr="00A11A7D" w:rsidRDefault="000976F3" w:rsidP="000976F3">
      <w:pPr>
        <w:rPr>
          <w:rFonts w:ascii="Arial" w:hAnsi="Arial" w:cs="Arial"/>
          <w:sz w:val="24"/>
          <w:szCs w:val="24"/>
        </w:rPr>
      </w:pPr>
      <w:r w:rsidRPr="00A11A7D">
        <w:rPr>
          <w:rFonts w:ascii="Arial" w:hAnsi="Arial" w:cs="Arial"/>
          <w:sz w:val="24"/>
          <w:szCs w:val="24"/>
        </w:rPr>
        <w:t>19 households who opened their doors were unable to provide feedback at the time i.e., will send email, too busy, too poorly, just going out.</w:t>
      </w:r>
    </w:p>
    <w:p w:rsidR="000976F3" w:rsidRPr="00A11A7D" w:rsidRDefault="000976F3" w:rsidP="000976F3">
      <w:pPr>
        <w:rPr>
          <w:rFonts w:ascii="Arial" w:hAnsi="Arial" w:cs="Arial"/>
          <w:sz w:val="24"/>
          <w:szCs w:val="24"/>
        </w:rPr>
      </w:pPr>
      <w:r w:rsidRPr="00A11A7D">
        <w:rPr>
          <w:rFonts w:ascii="Arial" w:hAnsi="Arial" w:cs="Arial"/>
          <w:sz w:val="24"/>
          <w:szCs w:val="24"/>
        </w:rPr>
        <w:t>In total 70 (26%) households provided feedback on the doorstep.</w:t>
      </w:r>
    </w:p>
    <w:p w:rsidR="000976F3" w:rsidRPr="00A11A7D" w:rsidRDefault="000976F3" w:rsidP="000976F3">
      <w:pPr>
        <w:rPr>
          <w:rFonts w:ascii="Arial" w:hAnsi="Arial" w:cs="Arial"/>
          <w:sz w:val="24"/>
          <w:szCs w:val="24"/>
        </w:rPr>
      </w:pPr>
      <w:r w:rsidRPr="00A11A7D">
        <w:rPr>
          <w:rFonts w:ascii="Arial" w:hAnsi="Arial" w:cs="Arial"/>
          <w:sz w:val="24"/>
          <w:szCs w:val="24"/>
        </w:rPr>
        <w:t xml:space="preserve">In December 2021 we sent a flyer to all Kilburn Square residents confirming that we had uploaded an online feedback form on the webpage for residents to submit their feedback if they had not done so already. We also confirmed that residents could still call or email the team with their feedback if this was their preference. </w:t>
      </w:r>
    </w:p>
    <w:p w:rsidR="000976F3" w:rsidRPr="00A11A7D" w:rsidRDefault="000976F3" w:rsidP="000976F3">
      <w:pPr>
        <w:rPr>
          <w:rFonts w:ascii="Arial" w:hAnsi="Arial" w:cs="Arial"/>
          <w:sz w:val="24"/>
          <w:szCs w:val="24"/>
        </w:rPr>
      </w:pPr>
      <w:r w:rsidRPr="00A11A7D">
        <w:rPr>
          <w:rFonts w:ascii="Arial" w:hAnsi="Arial" w:cs="Arial"/>
          <w:sz w:val="24"/>
          <w:szCs w:val="24"/>
        </w:rPr>
        <w:t>In January 2022 we wrote to all households that had not y</w:t>
      </w:r>
      <w:r w:rsidR="00A11A7D">
        <w:rPr>
          <w:rFonts w:ascii="Arial" w:hAnsi="Arial" w:cs="Arial"/>
          <w:sz w:val="24"/>
          <w:szCs w:val="24"/>
        </w:rPr>
        <w:t xml:space="preserve">et provided feedback extending </w:t>
      </w:r>
      <w:r w:rsidRPr="00A11A7D">
        <w:rPr>
          <w:rFonts w:ascii="Arial" w:hAnsi="Arial" w:cs="Arial"/>
          <w:sz w:val="24"/>
          <w:szCs w:val="24"/>
        </w:rPr>
        <w:t xml:space="preserve">the deadline for feedback until 30 January 2022.  </w:t>
      </w:r>
    </w:p>
    <w:p w:rsidR="000976F3" w:rsidRPr="00A11A7D" w:rsidRDefault="000976F3" w:rsidP="000976F3">
      <w:pPr>
        <w:rPr>
          <w:rFonts w:ascii="Arial" w:hAnsi="Arial" w:cs="Arial"/>
          <w:sz w:val="24"/>
          <w:szCs w:val="24"/>
        </w:rPr>
      </w:pPr>
      <w:r w:rsidRPr="00A11A7D">
        <w:rPr>
          <w:rFonts w:ascii="Arial" w:hAnsi="Arial" w:cs="Arial"/>
          <w:sz w:val="24"/>
          <w:szCs w:val="24"/>
        </w:rPr>
        <w:t xml:space="preserve">The below </w:t>
      </w:r>
      <w:r w:rsidR="000302D9" w:rsidRPr="00A11A7D">
        <w:rPr>
          <w:rFonts w:ascii="Arial" w:hAnsi="Arial" w:cs="Arial"/>
          <w:sz w:val="24"/>
          <w:szCs w:val="24"/>
        </w:rPr>
        <w:t xml:space="preserve">are </w:t>
      </w:r>
      <w:r w:rsidRPr="00A11A7D">
        <w:rPr>
          <w:rFonts w:ascii="Arial" w:hAnsi="Arial" w:cs="Arial"/>
          <w:sz w:val="24"/>
          <w:szCs w:val="24"/>
        </w:rPr>
        <w:t>details of the feedback received prior to the end of the consultation extension (30 January 2022):</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 xml:space="preserve">Option </w:t>
      </w:r>
      <w:proofErr w:type="gramStart"/>
      <w:r w:rsidRPr="00A11A7D">
        <w:rPr>
          <w:rFonts w:ascii="Arial" w:hAnsi="Arial" w:cs="Arial"/>
          <w:sz w:val="24"/>
          <w:szCs w:val="24"/>
        </w:rPr>
        <w:t>A</w:t>
      </w:r>
      <w:proofErr w:type="gramEnd"/>
      <w:r w:rsidRPr="00A11A7D">
        <w:rPr>
          <w:rFonts w:ascii="Arial" w:hAnsi="Arial" w:cs="Arial"/>
          <w:sz w:val="24"/>
          <w:szCs w:val="24"/>
        </w:rPr>
        <w:t xml:space="preserve"> – 18  </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 xml:space="preserve">Option E – 34 </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 xml:space="preserve">Either Option – 3 </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 xml:space="preserve">Neither Option – 10 </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 xml:space="preserve">Mix of A &amp; E – 1 </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Residents who said they would provide feedback later – 13</w:t>
      </w:r>
    </w:p>
    <w:p w:rsidR="000976F3" w:rsidRPr="00A11A7D" w:rsidRDefault="000976F3" w:rsidP="000302D9">
      <w:pPr>
        <w:spacing w:after="0"/>
        <w:rPr>
          <w:rFonts w:ascii="Arial" w:hAnsi="Arial" w:cs="Arial"/>
          <w:sz w:val="24"/>
          <w:szCs w:val="24"/>
        </w:rPr>
      </w:pPr>
    </w:p>
    <w:p w:rsidR="000976F3" w:rsidRPr="00A11A7D" w:rsidRDefault="000976F3" w:rsidP="000302D9">
      <w:pPr>
        <w:spacing w:after="0"/>
        <w:rPr>
          <w:rFonts w:ascii="Arial" w:hAnsi="Arial" w:cs="Arial"/>
          <w:sz w:val="24"/>
          <w:szCs w:val="24"/>
        </w:rPr>
      </w:pPr>
      <w:r w:rsidRPr="00A11A7D">
        <w:rPr>
          <w:rFonts w:ascii="Arial" w:hAnsi="Arial" w:cs="Arial"/>
          <w:sz w:val="24"/>
          <w:szCs w:val="24"/>
        </w:rPr>
        <w:t xml:space="preserve">Following the consultation extension, the feedback position increased slightly, </w:t>
      </w:r>
      <w:r w:rsidR="00A11A7D">
        <w:rPr>
          <w:rFonts w:ascii="Arial" w:hAnsi="Arial" w:cs="Arial"/>
          <w:sz w:val="24"/>
          <w:szCs w:val="24"/>
        </w:rPr>
        <w:t>t</w:t>
      </w:r>
      <w:r w:rsidR="000302D9" w:rsidRPr="00A11A7D">
        <w:rPr>
          <w:rFonts w:ascii="Arial" w:hAnsi="Arial" w:cs="Arial"/>
          <w:sz w:val="24"/>
          <w:szCs w:val="24"/>
        </w:rPr>
        <w:t>he figures below show</w:t>
      </w:r>
      <w:r w:rsidRPr="00A11A7D">
        <w:rPr>
          <w:rFonts w:ascii="Arial" w:hAnsi="Arial" w:cs="Arial"/>
          <w:sz w:val="24"/>
          <w:szCs w:val="24"/>
        </w:rPr>
        <w:t xml:space="preserve"> the overall feedback received.</w:t>
      </w:r>
    </w:p>
    <w:p w:rsidR="000302D9" w:rsidRPr="00A11A7D" w:rsidRDefault="000302D9" w:rsidP="000302D9">
      <w:pPr>
        <w:spacing w:after="0"/>
        <w:rPr>
          <w:rFonts w:ascii="Arial" w:hAnsi="Arial" w:cs="Arial"/>
          <w:sz w:val="24"/>
          <w:szCs w:val="24"/>
        </w:rPr>
      </w:pPr>
    </w:p>
    <w:p w:rsidR="000976F3" w:rsidRPr="00A11A7D" w:rsidRDefault="000976F3" w:rsidP="000302D9">
      <w:pPr>
        <w:spacing w:after="0"/>
        <w:rPr>
          <w:rFonts w:ascii="Arial" w:hAnsi="Arial" w:cs="Arial"/>
          <w:sz w:val="24"/>
          <w:szCs w:val="24"/>
        </w:rPr>
      </w:pPr>
      <w:r w:rsidRPr="00A11A7D">
        <w:rPr>
          <w:rFonts w:ascii="Arial" w:hAnsi="Arial" w:cs="Arial"/>
          <w:sz w:val="24"/>
          <w:szCs w:val="24"/>
        </w:rPr>
        <w:t>Feedback received:</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w:t>
      </w:r>
      <w:r w:rsidRPr="00A11A7D">
        <w:rPr>
          <w:rFonts w:ascii="Arial" w:hAnsi="Arial" w:cs="Arial"/>
          <w:sz w:val="24"/>
          <w:szCs w:val="24"/>
        </w:rPr>
        <w:tab/>
      </w:r>
      <w:proofErr w:type="gramStart"/>
      <w:r w:rsidRPr="00A11A7D">
        <w:rPr>
          <w:rFonts w:ascii="Arial" w:hAnsi="Arial" w:cs="Arial"/>
          <w:sz w:val="24"/>
          <w:szCs w:val="24"/>
        </w:rPr>
        <w:t>door</w:t>
      </w:r>
      <w:proofErr w:type="gramEnd"/>
      <w:r w:rsidRPr="00A11A7D">
        <w:rPr>
          <w:rFonts w:ascii="Arial" w:hAnsi="Arial" w:cs="Arial"/>
          <w:sz w:val="24"/>
          <w:szCs w:val="24"/>
        </w:rPr>
        <w:t xml:space="preserve"> knocking (70)</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w:t>
      </w:r>
      <w:r w:rsidRPr="00A11A7D">
        <w:rPr>
          <w:rFonts w:ascii="Arial" w:hAnsi="Arial" w:cs="Arial"/>
          <w:sz w:val="24"/>
          <w:szCs w:val="24"/>
        </w:rPr>
        <w:tab/>
      </w:r>
      <w:proofErr w:type="gramStart"/>
      <w:r w:rsidRPr="00A11A7D">
        <w:rPr>
          <w:rFonts w:ascii="Arial" w:hAnsi="Arial" w:cs="Arial"/>
          <w:sz w:val="24"/>
          <w:szCs w:val="24"/>
        </w:rPr>
        <w:t>telephone</w:t>
      </w:r>
      <w:proofErr w:type="gramEnd"/>
      <w:r w:rsidRPr="00A11A7D">
        <w:rPr>
          <w:rFonts w:ascii="Arial" w:hAnsi="Arial" w:cs="Arial"/>
          <w:sz w:val="24"/>
          <w:szCs w:val="24"/>
        </w:rPr>
        <w:t xml:space="preserve"> calls (0)</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w:t>
      </w:r>
      <w:r w:rsidRPr="00A11A7D">
        <w:rPr>
          <w:rFonts w:ascii="Arial" w:hAnsi="Arial" w:cs="Arial"/>
          <w:sz w:val="24"/>
          <w:szCs w:val="24"/>
        </w:rPr>
        <w:tab/>
        <w:t xml:space="preserve">emails (3) </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w:t>
      </w:r>
      <w:r w:rsidRPr="00A11A7D">
        <w:rPr>
          <w:rFonts w:ascii="Arial" w:hAnsi="Arial" w:cs="Arial"/>
          <w:sz w:val="24"/>
          <w:szCs w:val="24"/>
        </w:rPr>
        <w:tab/>
      </w:r>
      <w:proofErr w:type="gramStart"/>
      <w:r w:rsidRPr="00A11A7D">
        <w:rPr>
          <w:rFonts w:ascii="Arial" w:hAnsi="Arial" w:cs="Arial"/>
          <w:sz w:val="24"/>
          <w:szCs w:val="24"/>
        </w:rPr>
        <w:t>online</w:t>
      </w:r>
      <w:proofErr w:type="gramEnd"/>
      <w:r w:rsidRPr="00A11A7D">
        <w:rPr>
          <w:rFonts w:ascii="Arial" w:hAnsi="Arial" w:cs="Arial"/>
          <w:sz w:val="24"/>
          <w:szCs w:val="24"/>
        </w:rPr>
        <w:t xml:space="preserve"> feedback forms (8)</w:t>
      </w:r>
    </w:p>
    <w:p w:rsidR="000976F3" w:rsidRPr="00A11A7D" w:rsidRDefault="000976F3" w:rsidP="000976F3">
      <w:pPr>
        <w:rPr>
          <w:rFonts w:ascii="Arial" w:hAnsi="Arial" w:cs="Arial"/>
          <w:sz w:val="24"/>
          <w:szCs w:val="24"/>
        </w:rPr>
      </w:pPr>
    </w:p>
    <w:p w:rsidR="000976F3" w:rsidRPr="00A11A7D" w:rsidRDefault="000976F3" w:rsidP="000976F3">
      <w:pPr>
        <w:rPr>
          <w:rFonts w:ascii="Arial" w:hAnsi="Arial" w:cs="Arial"/>
          <w:sz w:val="24"/>
          <w:szCs w:val="24"/>
        </w:rPr>
      </w:pPr>
      <w:r w:rsidRPr="00A11A7D">
        <w:rPr>
          <w:rFonts w:ascii="Arial" w:hAnsi="Arial" w:cs="Arial"/>
          <w:sz w:val="24"/>
          <w:szCs w:val="24"/>
        </w:rPr>
        <w:t>Overall, 81 (30%) households provided feedback. 38 households expressed a preference for option E and 26 households preferred option A.</w:t>
      </w:r>
    </w:p>
    <w:p w:rsidR="000976F3" w:rsidRPr="00A11A7D" w:rsidRDefault="000976F3" w:rsidP="000302D9">
      <w:pPr>
        <w:rPr>
          <w:rFonts w:ascii="Arial" w:hAnsi="Arial" w:cs="Arial"/>
          <w:sz w:val="24"/>
          <w:szCs w:val="24"/>
        </w:rPr>
      </w:pPr>
      <w:r w:rsidRPr="00A11A7D">
        <w:rPr>
          <w:rStyle w:val="Heading2Char"/>
          <w:rFonts w:ascii="Arial" w:hAnsi="Arial" w:cs="Arial"/>
          <w:color w:val="auto"/>
          <w:sz w:val="24"/>
          <w:szCs w:val="24"/>
        </w:rPr>
        <w:t>Overall Feedback – from existing tower or low-rise blocks</w:t>
      </w:r>
      <w:r w:rsidR="000302D9" w:rsidRPr="00A11A7D">
        <w:rPr>
          <w:rFonts w:ascii="Arial" w:hAnsi="Arial" w:cs="Arial"/>
          <w:sz w:val="24"/>
          <w:szCs w:val="24"/>
        </w:rPr>
        <w:t xml:space="preserve">. </w:t>
      </w:r>
      <w:r w:rsidRPr="00A11A7D">
        <w:rPr>
          <w:rFonts w:ascii="Arial" w:hAnsi="Arial" w:cs="Arial"/>
          <w:sz w:val="24"/>
          <w:szCs w:val="24"/>
        </w:rPr>
        <w:tab/>
      </w:r>
      <w:r w:rsidRPr="00A11A7D">
        <w:rPr>
          <w:rFonts w:ascii="Arial" w:hAnsi="Arial" w:cs="Arial"/>
          <w:sz w:val="24"/>
          <w:szCs w:val="24"/>
        </w:rPr>
        <w:tab/>
      </w:r>
    </w:p>
    <w:p w:rsidR="000302D9" w:rsidRPr="00A11A7D" w:rsidRDefault="000976F3" w:rsidP="000302D9">
      <w:pPr>
        <w:pStyle w:val="Heading3"/>
        <w:rPr>
          <w:rFonts w:ascii="Arial" w:hAnsi="Arial" w:cs="Arial"/>
          <w:b/>
          <w:color w:val="auto"/>
        </w:rPr>
      </w:pPr>
      <w:r w:rsidRPr="00A11A7D">
        <w:rPr>
          <w:rFonts w:ascii="Arial" w:hAnsi="Arial" w:cs="Arial"/>
          <w:b/>
          <w:color w:val="auto"/>
        </w:rPr>
        <w:t xml:space="preserve">Door knock - A </w:t>
      </w:r>
      <w:r w:rsidRPr="00A11A7D">
        <w:rPr>
          <w:rFonts w:ascii="Arial" w:hAnsi="Arial" w:cs="Arial"/>
          <w:b/>
          <w:color w:val="auto"/>
        </w:rPr>
        <w:tab/>
      </w:r>
    </w:p>
    <w:p w:rsidR="000976F3" w:rsidRPr="00A11A7D" w:rsidRDefault="000976F3" w:rsidP="000302D9">
      <w:pPr>
        <w:spacing w:after="0"/>
        <w:rPr>
          <w:rFonts w:ascii="Arial" w:hAnsi="Arial" w:cs="Arial"/>
          <w:sz w:val="24"/>
          <w:szCs w:val="24"/>
        </w:rPr>
      </w:pPr>
      <w:r w:rsidRPr="00A11A7D">
        <w:rPr>
          <w:rFonts w:ascii="Arial" w:hAnsi="Arial" w:cs="Arial"/>
          <w:sz w:val="24"/>
          <w:szCs w:val="24"/>
        </w:rPr>
        <w:t xml:space="preserve">Tower Block </w:t>
      </w:r>
      <w:r w:rsidRPr="00A11A7D">
        <w:rPr>
          <w:rFonts w:ascii="Arial" w:hAnsi="Arial" w:cs="Arial"/>
          <w:sz w:val="24"/>
          <w:szCs w:val="24"/>
        </w:rPr>
        <w:tab/>
      </w:r>
      <w:r w:rsidRPr="00A11A7D">
        <w:rPr>
          <w:rFonts w:ascii="Arial" w:hAnsi="Arial" w:cs="Arial"/>
          <w:sz w:val="24"/>
          <w:szCs w:val="24"/>
        </w:rPr>
        <w:t>11</w:t>
      </w:r>
    </w:p>
    <w:p w:rsidR="000976F3" w:rsidRPr="00A11A7D" w:rsidRDefault="000976F3" w:rsidP="000302D9">
      <w:pPr>
        <w:spacing w:after="0"/>
        <w:rPr>
          <w:rFonts w:ascii="Arial" w:hAnsi="Arial" w:cs="Arial"/>
          <w:sz w:val="24"/>
          <w:szCs w:val="24"/>
        </w:rPr>
      </w:pPr>
      <w:r w:rsidRPr="00A11A7D">
        <w:rPr>
          <w:rFonts w:ascii="Arial" w:hAnsi="Arial" w:cs="Arial"/>
          <w:sz w:val="24"/>
          <w:szCs w:val="24"/>
        </w:rPr>
        <w:t>Low Rise</w:t>
      </w:r>
      <w:r w:rsidRPr="00A11A7D">
        <w:rPr>
          <w:rFonts w:ascii="Arial" w:hAnsi="Arial" w:cs="Arial"/>
          <w:sz w:val="24"/>
          <w:szCs w:val="24"/>
        </w:rPr>
        <w:tab/>
        <w:t>9</w:t>
      </w:r>
      <w:r w:rsidRPr="00A11A7D">
        <w:rPr>
          <w:rFonts w:ascii="Arial" w:hAnsi="Arial" w:cs="Arial"/>
          <w:sz w:val="24"/>
          <w:szCs w:val="24"/>
        </w:rPr>
        <w:tab/>
      </w:r>
    </w:p>
    <w:p w:rsidR="000976F3" w:rsidRPr="00A11A7D" w:rsidRDefault="000976F3" w:rsidP="000302D9">
      <w:pPr>
        <w:spacing w:after="0"/>
        <w:rPr>
          <w:rFonts w:ascii="Arial" w:hAnsi="Arial" w:cs="Arial"/>
          <w:sz w:val="24"/>
          <w:szCs w:val="24"/>
        </w:rPr>
      </w:pPr>
      <w:r w:rsidRPr="00A11A7D">
        <w:rPr>
          <w:rFonts w:ascii="Arial" w:hAnsi="Arial" w:cs="Arial"/>
          <w:sz w:val="24"/>
          <w:szCs w:val="24"/>
        </w:rPr>
        <w:t xml:space="preserve">Not sure </w:t>
      </w:r>
      <w:r w:rsidRPr="00A11A7D">
        <w:rPr>
          <w:rFonts w:ascii="Arial" w:hAnsi="Arial" w:cs="Arial"/>
          <w:sz w:val="24"/>
          <w:szCs w:val="24"/>
        </w:rPr>
        <w:tab/>
      </w:r>
      <w:r w:rsidRPr="00A11A7D">
        <w:rPr>
          <w:rFonts w:ascii="Arial" w:hAnsi="Arial" w:cs="Arial"/>
          <w:sz w:val="24"/>
          <w:szCs w:val="24"/>
        </w:rPr>
        <w:t>0</w:t>
      </w:r>
      <w:r w:rsidRPr="00A11A7D">
        <w:rPr>
          <w:rFonts w:ascii="Arial" w:hAnsi="Arial" w:cs="Arial"/>
          <w:sz w:val="24"/>
          <w:szCs w:val="24"/>
        </w:rPr>
        <w:tab/>
      </w:r>
    </w:p>
    <w:p w:rsidR="000302D9" w:rsidRPr="00A11A7D" w:rsidRDefault="000302D9" w:rsidP="000302D9">
      <w:pPr>
        <w:spacing w:after="0"/>
        <w:rPr>
          <w:rFonts w:ascii="Arial" w:hAnsi="Arial" w:cs="Arial"/>
          <w:sz w:val="24"/>
          <w:szCs w:val="24"/>
        </w:rPr>
      </w:pPr>
    </w:p>
    <w:p w:rsidR="000302D9" w:rsidRPr="00A11A7D" w:rsidRDefault="000976F3" w:rsidP="000302D9">
      <w:pPr>
        <w:pStyle w:val="Heading3"/>
        <w:rPr>
          <w:rFonts w:ascii="Arial" w:hAnsi="Arial" w:cs="Arial"/>
          <w:b/>
          <w:color w:val="auto"/>
        </w:rPr>
      </w:pPr>
      <w:r w:rsidRPr="00A11A7D">
        <w:rPr>
          <w:rFonts w:ascii="Arial" w:hAnsi="Arial" w:cs="Arial"/>
          <w:b/>
          <w:color w:val="auto"/>
        </w:rPr>
        <w:t xml:space="preserve">Email </w:t>
      </w:r>
      <w:r w:rsidR="000302D9" w:rsidRPr="00A11A7D">
        <w:rPr>
          <w:rFonts w:ascii="Arial" w:hAnsi="Arial" w:cs="Arial"/>
          <w:b/>
          <w:color w:val="auto"/>
        </w:rPr>
        <w:t>–</w:t>
      </w:r>
      <w:r w:rsidRPr="00A11A7D">
        <w:rPr>
          <w:rFonts w:ascii="Arial" w:hAnsi="Arial" w:cs="Arial"/>
          <w:b/>
          <w:color w:val="auto"/>
        </w:rPr>
        <w:t xml:space="preserve"> A</w:t>
      </w:r>
    </w:p>
    <w:p w:rsidR="000302D9" w:rsidRPr="00A11A7D" w:rsidRDefault="000302D9" w:rsidP="000302D9">
      <w:pPr>
        <w:spacing w:after="0"/>
        <w:rPr>
          <w:rFonts w:ascii="Arial" w:hAnsi="Arial" w:cs="Arial"/>
          <w:sz w:val="24"/>
          <w:szCs w:val="24"/>
        </w:rPr>
      </w:pPr>
      <w:r w:rsidRPr="00A11A7D">
        <w:rPr>
          <w:rFonts w:ascii="Arial" w:hAnsi="Arial" w:cs="Arial"/>
          <w:sz w:val="24"/>
          <w:szCs w:val="24"/>
        </w:rPr>
        <w:t>Tower Block</w:t>
      </w:r>
      <w:r w:rsidR="000976F3" w:rsidRPr="00A11A7D">
        <w:rPr>
          <w:rFonts w:ascii="Arial" w:hAnsi="Arial" w:cs="Arial"/>
          <w:sz w:val="24"/>
          <w:szCs w:val="24"/>
        </w:rPr>
        <w:tab/>
      </w:r>
      <w:r w:rsidR="000976F3" w:rsidRPr="00A11A7D">
        <w:rPr>
          <w:rFonts w:ascii="Arial" w:hAnsi="Arial" w:cs="Arial"/>
          <w:sz w:val="24"/>
          <w:szCs w:val="24"/>
        </w:rPr>
        <w:t>1</w:t>
      </w:r>
      <w:r w:rsidR="000976F3" w:rsidRPr="00A11A7D">
        <w:rPr>
          <w:rFonts w:ascii="Arial" w:hAnsi="Arial" w:cs="Arial"/>
          <w:sz w:val="24"/>
          <w:szCs w:val="24"/>
        </w:rPr>
        <w:tab/>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Low Rise </w:t>
      </w:r>
      <w:r w:rsidRPr="00A11A7D">
        <w:rPr>
          <w:rFonts w:ascii="Arial" w:hAnsi="Arial" w:cs="Arial"/>
          <w:sz w:val="24"/>
          <w:szCs w:val="24"/>
        </w:rPr>
        <w:tab/>
      </w:r>
      <w:r w:rsidR="000976F3" w:rsidRPr="00A11A7D">
        <w:rPr>
          <w:rFonts w:ascii="Arial" w:hAnsi="Arial" w:cs="Arial"/>
          <w:sz w:val="24"/>
          <w:szCs w:val="24"/>
        </w:rPr>
        <w:t>0</w:t>
      </w:r>
      <w:r w:rsidR="000976F3" w:rsidRPr="00A11A7D">
        <w:rPr>
          <w:rFonts w:ascii="Arial" w:hAnsi="Arial" w:cs="Arial"/>
          <w:sz w:val="24"/>
          <w:szCs w:val="24"/>
        </w:rPr>
        <w:tab/>
      </w:r>
    </w:p>
    <w:p w:rsidR="000976F3" w:rsidRPr="00A11A7D" w:rsidRDefault="000302D9" w:rsidP="000302D9">
      <w:pPr>
        <w:spacing w:after="0"/>
        <w:rPr>
          <w:rFonts w:ascii="Arial" w:hAnsi="Arial" w:cs="Arial"/>
          <w:sz w:val="24"/>
          <w:szCs w:val="24"/>
        </w:rPr>
      </w:pPr>
      <w:r w:rsidRPr="00A11A7D">
        <w:rPr>
          <w:rFonts w:ascii="Arial" w:hAnsi="Arial" w:cs="Arial"/>
          <w:sz w:val="24"/>
          <w:szCs w:val="24"/>
        </w:rPr>
        <w:t xml:space="preserve">Not sure </w:t>
      </w:r>
      <w:r w:rsidRPr="00A11A7D">
        <w:rPr>
          <w:rFonts w:ascii="Arial" w:hAnsi="Arial" w:cs="Arial"/>
          <w:sz w:val="24"/>
          <w:szCs w:val="24"/>
        </w:rPr>
        <w:tab/>
      </w:r>
      <w:r w:rsidR="000976F3" w:rsidRPr="00A11A7D">
        <w:rPr>
          <w:rFonts w:ascii="Arial" w:hAnsi="Arial" w:cs="Arial"/>
          <w:sz w:val="24"/>
          <w:szCs w:val="24"/>
        </w:rPr>
        <w:t>0</w:t>
      </w:r>
      <w:r w:rsidR="000976F3" w:rsidRPr="00A11A7D">
        <w:rPr>
          <w:rFonts w:ascii="Arial" w:hAnsi="Arial" w:cs="Arial"/>
          <w:sz w:val="24"/>
          <w:szCs w:val="24"/>
        </w:rPr>
        <w:tab/>
      </w:r>
    </w:p>
    <w:p w:rsidR="000302D9" w:rsidRPr="00A11A7D" w:rsidRDefault="000302D9" w:rsidP="000302D9">
      <w:pPr>
        <w:spacing w:after="0"/>
        <w:rPr>
          <w:rFonts w:ascii="Arial" w:hAnsi="Arial" w:cs="Arial"/>
          <w:sz w:val="24"/>
          <w:szCs w:val="24"/>
        </w:rPr>
      </w:pPr>
    </w:p>
    <w:p w:rsidR="000302D9" w:rsidRPr="00A11A7D" w:rsidRDefault="000976F3" w:rsidP="00A11A7D">
      <w:pPr>
        <w:pStyle w:val="Heading3"/>
        <w:rPr>
          <w:rFonts w:ascii="Arial" w:hAnsi="Arial" w:cs="Arial"/>
          <w:b/>
          <w:color w:val="auto"/>
        </w:rPr>
      </w:pPr>
      <w:r w:rsidRPr="00A11A7D">
        <w:rPr>
          <w:rFonts w:ascii="Arial" w:hAnsi="Arial" w:cs="Arial"/>
          <w:b/>
          <w:color w:val="auto"/>
        </w:rPr>
        <w:t>On-line form - A</w:t>
      </w:r>
      <w:r w:rsidRPr="00A11A7D">
        <w:rPr>
          <w:rFonts w:ascii="Arial" w:hAnsi="Arial" w:cs="Arial"/>
          <w:b/>
          <w:color w:val="auto"/>
        </w:rPr>
        <w:tab/>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Tower Block </w:t>
      </w:r>
      <w:r w:rsidRPr="00A11A7D">
        <w:rPr>
          <w:rFonts w:ascii="Arial" w:hAnsi="Arial" w:cs="Arial"/>
          <w:sz w:val="24"/>
          <w:szCs w:val="24"/>
        </w:rPr>
        <w:tab/>
      </w:r>
      <w:r w:rsidR="000976F3" w:rsidRPr="00A11A7D">
        <w:rPr>
          <w:rFonts w:ascii="Arial" w:hAnsi="Arial" w:cs="Arial"/>
          <w:sz w:val="24"/>
          <w:szCs w:val="24"/>
        </w:rPr>
        <w:t>2</w:t>
      </w:r>
    </w:p>
    <w:p w:rsidR="000302D9" w:rsidRPr="00A11A7D" w:rsidRDefault="000302D9" w:rsidP="000302D9">
      <w:pPr>
        <w:spacing w:after="0"/>
        <w:rPr>
          <w:rFonts w:ascii="Arial" w:hAnsi="Arial" w:cs="Arial"/>
          <w:sz w:val="24"/>
          <w:szCs w:val="24"/>
        </w:rPr>
      </w:pPr>
      <w:r w:rsidRPr="00A11A7D">
        <w:rPr>
          <w:rFonts w:ascii="Arial" w:hAnsi="Arial" w:cs="Arial"/>
          <w:sz w:val="24"/>
          <w:szCs w:val="24"/>
        </w:rPr>
        <w:t>Low Rise</w:t>
      </w:r>
      <w:r w:rsidR="000976F3" w:rsidRPr="00A11A7D">
        <w:rPr>
          <w:rFonts w:ascii="Arial" w:hAnsi="Arial" w:cs="Arial"/>
          <w:sz w:val="24"/>
          <w:szCs w:val="24"/>
        </w:rPr>
        <w:tab/>
        <w:t>0</w:t>
      </w:r>
      <w:r w:rsidR="000976F3" w:rsidRPr="00A11A7D">
        <w:rPr>
          <w:rFonts w:ascii="Arial" w:hAnsi="Arial" w:cs="Arial"/>
          <w:sz w:val="24"/>
          <w:szCs w:val="24"/>
        </w:rPr>
        <w:tab/>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Not sure </w:t>
      </w:r>
      <w:r w:rsidRPr="00A11A7D">
        <w:rPr>
          <w:rFonts w:ascii="Arial" w:hAnsi="Arial" w:cs="Arial"/>
          <w:sz w:val="24"/>
          <w:szCs w:val="24"/>
        </w:rPr>
        <w:tab/>
      </w:r>
      <w:r w:rsidR="000976F3" w:rsidRPr="00A11A7D">
        <w:rPr>
          <w:rFonts w:ascii="Arial" w:hAnsi="Arial" w:cs="Arial"/>
          <w:sz w:val="24"/>
          <w:szCs w:val="24"/>
        </w:rPr>
        <w:t>3</w:t>
      </w:r>
    </w:p>
    <w:p w:rsidR="00A11A7D" w:rsidRPr="00A11A7D" w:rsidRDefault="00A11A7D" w:rsidP="000302D9">
      <w:pPr>
        <w:spacing w:after="0"/>
        <w:rPr>
          <w:rFonts w:ascii="Arial" w:hAnsi="Arial" w:cs="Arial"/>
          <w:sz w:val="24"/>
          <w:szCs w:val="24"/>
        </w:rPr>
      </w:pPr>
    </w:p>
    <w:p w:rsidR="000302D9" w:rsidRPr="00A11A7D" w:rsidRDefault="000302D9" w:rsidP="00A11A7D">
      <w:pPr>
        <w:pStyle w:val="Heading3"/>
        <w:rPr>
          <w:rFonts w:ascii="Arial" w:hAnsi="Arial" w:cs="Arial"/>
          <w:b/>
          <w:color w:val="auto"/>
        </w:rPr>
      </w:pPr>
      <w:r w:rsidRPr="00A11A7D">
        <w:rPr>
          <w:rFonts w:ascii="Arial" w:hAnsi="Arial" w:cs="Arial"/>
          <w:b/>
          <w:color w:val="auto"/>
        </w:rPr>
        <w:t>Totals</w:t>
      </w:r>
      <w:r w:rsidR="00A11A7D" w:rsidRPr="00A11A7D">
        <w:rPr>
          <w:rFonts w:ascii="Arial" w:hAnsi="Arial" w:cs="Arial"/>
          <w:b/>
          <w:color w:val="auto"/>
        </w:rPr>
        <w:t xml:space="preserve"> for A</w:t>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Tower Block </w:t>
      </w:r>
      <w:r w:rsidR="000976F3" w:rsidRPr="00A11A7D">
        <w:rPr>
          <w:rFonts w:ascii="Arial" w:hAnsi="Arial" w:cs="Arial"/>
          <w:sz w:val="24"/>
          <w:szCs w:val="24"/>
        </w:rPr>
        <w:tab/>
        <w:t>14</w:t>
      </w:r>
      <w:r w:rsidR="000976F3" w:rsidRPr="00A11A7D">
        <w:rPr>
          <w:rFonts w:ascii="Arial" w:hAnsi="Arial" w:cs="Arial"/>
          <w:sz w:val="24"/>
          <w:szCs w:val="24"/>
        </w:rPr>
        <w:tab/>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Low Rise </w:t>
      </w:r>
      <w:r w:rsidRPr="00A11A7D">
        <w:rPr>
          <w:rFonts w:ascii="Arial" w:hAnsi="Arial" w:cs="Arial"/>
          <w:sz w:val="24"/>
          <w:szCs w:val="24"/>
        </w:rPr>
        <w:tab/>
      </w:r>
      <w:r w:rsidR="000976F3" w:rsidRPr="00A11A7D">
        <w:rPr>
          <w:rFonts w:ascii="Arial" w:hAnsi="Arial" w:cs="Arial"/>
          <w:sz w:val="24"/>
          <w:szCs w:val="24"/>
        </w:rPr>
        <w:t>9</w:t>
      </w:r>
      <w:r w:rsidR="000976F3" w:rsidRPr="00A11A7D">
        <w:rPr>
          <w:rFonts w:ascii="Arial" w:hAnsi="Arial" w:cs="Arial"/>
          <w:sz w:val="24"/>
          <w:szCs w:val="24"/>
        </w:rPr>
        <w:tab/>
      </w:r>
    </w:p>
    <w:p w:rsidR="000976F3" w:rsidRPr="00A11A7D" w:rsidRDefault="000302D9" w:rsidP="000302D9">
      <w:pPr>
        <w:spacing w:after="0"/>
        <w:rPr>
          <w:rFonts w:ascii="Arial" w:hAnsi="Arial" w:cs="Arial"/>
          <w:sz w:val="24"/>
          <w:szCs w:val="24"/>
        </w:rPr>
      </w:pPr>
      <w:r w:rsidRPr="00A11A7D">
        <w:rPr>
          <w:rFonts w:ascii="Arial" w:hAnsi="Arial" w:cs="Arial"/>
          <w:sz w:val="24"/>
          <w:szCs w:val="24"/>
        </w:rPr>
        <w:t>Not sure</w:t>
      </w:r>
      <w:r w:rsidRPr="00A11A7D">
        <w:rPr>
          <w:rFonts w:ascii="Arial" w:hAnsi="Arial" w:cs="Arial"/>
          <w:sz w:val="24"/>
          <w:szCs w:val="24"/>
        </w:rPr>
        <w:tab/>
        <w:t xml:space="preserve"> </w:t>
      </w:r>
      <w:r w:rsidR="000976F3" w:rsidRPr="00A11A7D">
        <w:rPr>
          <w:rFonts w:ascii="Arial" w:hAnsi="Arial" w:cs="Arial"/>
          <w:sz w:val="24"/>
          <w:szCs w:val="24"/>
        </w:rPr>
        <w:t>3</w:t>
      </w:r>
      <w:r w:rsidR="000976F3" w:rsidRPr="00A11A7D">
        <w:rPr>
          <w:rFonts w:ascii="Arial" w:hAnsi="Arial" w:cs="Arial"/>
          <w:sz w:val="24"/>
          <w:szCs w:val="24"/>
        </w:rPr>
        <w:tab/>
      </w:r>
    </w:p>
    <w:p w:rsidR="000976F3" w:rsidRPr="00A11A7D" w:rsidRDefault="000976F3" w:rsidP="000302D9">
      <w:pPr>
        <w:spacing w:after="0"/>
        <w:rPr>
          <w:rFonts w:ascii="Arial" w:hAnsi="Arial" w:cs="Arial"/>
          <w:sz w:val="24"/>
          <w:szCs w:val="24"/>
        </w:rPr>
      </w:pPr>
      <w:r w:rsidRPr="00A11A7D">
        <w:rPr>
          <w:rFonts w:ascii="Arial" w:hAnsi="Arial" w:cs="Arial"/>
          <w:sz w:val="24"/>
          <w:szCs w:val="24"/>
        </w:rPr>
        <w:tab/>
      </w:r>
      <w:r w:rsidRPr="00A11A7D">
        <w:rPr>
          <w:rFonts w:ascii="Arial" w:hAnsi="Arial" w:cs="Arial"/>
          <w:sz w:val="24"/>
          <w:szCs w:val="24"/>
        </w:rPr>
        <w:tab/>
      </w:r>
      <w:r w:rsidRPr="00A11A7D">
        <w:rPr>
          <w:rFonts w:ascii="Arial" w:hAnsi="Arial" w:cs="Arial"/>
          <w:sz w:val="24"/>
          <w:szCs w:val="24"/>
        </w:rPr>
        <w:tab/>
      </w:r>
      <w:r w:rsidRPr="00A11A7D">
        <w:rPr>
          <w:rFonts w:ascii="Arial" w:hAnsi="Arial" w:cs="Arial"/>
          <w:sz w:val="24"/>
          <w:szCs w:val="24"/>
        </w:rPr>
        <w:tab/>
      </w:r>
    </w:p>
    <w:p w:rsidR="000302D9" w:rsidRPr="00A11A7D" w:rsidRDefault="000976F3" w:rsidP="00A11A7D">
      <w:pPr>
        <w:pStyle w:val="Heading3"/>
        <w:rPr>
          <w:rFonts w:ascii="Arial" w:hAnsi="Arial" w:cs="Arial"/>
          <w:b/>
          <w:color w:val="auto"/>
        </w:rPr>
      </w:pPr>
      <w:r w:rsidRPr="00A11A7D">
        <w:rPr>
          <w:rFonts w:ascii="Arial" w:hAnsi="Arial" w:cs="Arial"/>
          <w:b/>
          <w:color w:val="auto"/>
        </w:rPr>
        <w:t>Door knock- E</w:t>
      </w:r>
      <w:r w:rsidRPr="00A11A7D">
        <w:rPr>
          <w:rFonts w:ascii="Arial" w:hAnsi="Arial" w:cs="Arial"/>
          <w:b/>
          <w:color w:val="auto"/>
        </w:rPr>
        <w:tab/>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Tower Block </w:t>
      </w:r>
      <w:r w:rsidRPr="00A11A7D">
        <w:rPr>
          <w:rFonts w:ascii="Arial" w:hAnsi="Arial" w:cs="Arial"/>
          <w:sz w:val="24"/>
          <w:szCs w:val="24"/>
        </w:rPr>
        <w:tab/>
        <w:t>14</w:t>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Low Rise </w:t>
      </w:r>
      <w:r w:rsidRPr="00A11A7D">
        <w:rPr>
          <w:rFonts w:ascii="Arial" w:hAnsi="Arial" w:cs="Arial"/>
          <w:sz w:val="24"/>
          <w:szCs w:val="24"/>
        </w:rPr>
        <w:tab/>
      </w:r>
      <w:r w:rsidR="000976F3" w:rsidRPr="00A11A7D">
        <w:rPr>
          <w:rFonts w:ascii="Arial" w:hAnsi="Arial" w:cs="Arial"/>
          <w:sz w:val="24"/>
          <w:szCs w:val="24"/>
        </w:rPr>
        <w:t>20</w:t>
      </w:r>
      <w:r w:rsidR="000976F3" w:rsidRPr="00A11A7D">
        <w:rPr>
          <w:rFonts w:ascii="Arial" w:hAnsi="Arial" w:cs="Arial"/>
          <w:sz w:val="24"/>
          <w:szCs w:val="24"/>
        </w:rPr>
        <w:tab/>
      </w:r>
    </w:p>
    <w:p w:rsidR="000976F3" w:rsidRPr="00A11A7D" w:rsidRDefault="000302D9" w:rsidP="000302D9">
      <w:pPr>
        <w:spacing w:after="0"/>
        <w:rPr>
          <w:rFonts w:ascii="Arial" w:hAnsi="Arial" w:cs="Arial"/>
          <w:sz w:val="24"/>
          <w:szCs w:val="24"/>
        </w:rPr>
      </w:pPr>
      <w:r w:rsidRPr="00A11A7D">
        <w:rPr>
          <w:rFonts w:ascii="Arial" w:hAnsi="Arial" w:cs="Arial"/>
          <w:sz w:val="24"/>
          <w:szCs w:val="24"/>
        </w:rPr>
        <w:t>Not sure</w:t>
      </w:r>
      <w:r w:rsidRPr="00A11A7D">
        <w:rPr>
          <w:rFonts w:ascii="Arial" w:hAnsi="Arial" w:cs="Arial"/>
          <w:sz w:val="24"/>
          <w:szCs w:val="24"/>
        </w:rPr>
        <w:tab/>
      </w:r>
      <w:r w:rsidR="000976F3" w:rsidRPr="00A11A7D">
        <w:rPr>
          <w:rFonts w:ascii="Arial" w:hAnsi="Arial" w:cs="Arial"/>
          <w:sz w:val="24"/>
          <w:szCs w:val="24"/>
        </w:rPr>
        <w:t>0</w:t>
      </w:r>
      <w:r w:rsidR="000976F3" w:rsidRPr="00A11A7D">
        <w:rPr>
          <w:rFonts w:ascii="Arial" w:hAnsi="Arial" w:cs="Arial"/>
          <w:sz w:val="24"/>
          <w:szCs w:val="24"/>
        </w:rPr>
        <w:tab/>
      </w:r>
    </w:p>
    <w:p w:rsidR="000302D9" w:rsidRPr="00A11A7D" w:rsidRDefault="000302D9" w:rsidP="000302D9">
      <w:pPr>
        <w:spacing w:after="0"/>
        <w:rPr>
          <w:rFonts w:ascii="Arial" w:hAnsi="Arial" w:cs="Arial"/>
          <w:sz w:val="24"/>
          <w:szCs w:val="24"/>
        </w:rPr>
      </w:pPr>
    </w:p>
    <w:p w:rsidR="000302D9" w:rsidRPr="00A11A7D" w:rsidRDefault="000976F3" w:rsidP="00A11A7D">
      <w:pPr>
        <w:pStyle w:val="Heading3"/>
        <w:rPr>
          <w:rFonts w:ascii="Arial" w:hAnsi="Arial" w:cs="Arial"/>
          <w:b/>
          <w:color w:val="auto"/>
        </w:rPr>
      </w:pPr>
      <w:r w:rsidRPr="00A11A7D">
        <w:rPr>
          <w:rFonts w:ascii="Arial" w:hAnsi="Arial" w:cs="Arial"/>
          <w:b/>
          <w:color w:val="auto"/>
        </w:rPr>
        <w:t>Email - E</w:t>
      </w:r>
      <w:r w:rsidRPr="00A11A7D">
        <w:rPr>
          <w:rFonts w:ascii="Arial" w:hAnsi="Arial" w:cs="Arial"/>
          <w:b/>
          <w:color w:val="auto"/>
        </w:rPr>
        <w:tab/>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Tower Block </w:t>
      </w:r>
      <w:r w:rsidRPr="00A11A7D">
        <w:rPr>
          <w:rFonts w:ascii="Arial" w:hAnsi="Arial" w:cs="Arial"/>
          <w:sz w:val="24"/>
          <w:szCs w:val="24"/>
        </w:rPr>
        <w:tab/>
      </w:r>
      <w:r w:rsidR="000976F3" w:rsidRPr="00A11A7D">
        <w:rPr>
          <w:rFonts w:ascii="Arial" w:hAnsi="Arial" w:cs="Arial"/>
          <w:sz w:val="24"/>
          <w:szCs w:val="24"/>
        </w:rPr>
        <w:t>0</w:t>
      </w:r>
      <w:r w:rsidR="000976F3" w:rsidRPr="00A11A7D">
        <w:rPr>
          <w:rFonts w:ascii="Arial" w:hAnsi="Arial" w:cs="Arial"/>
          <w:sz w:val="24"/>
          <w:szCs w:val="24"/>
        </w:rPr>
        <w:tab/>
      </w:r>
    </w:p>
    <w:p w:rsidR="000302D9" w:rsidRPr="00A11A7D" w:rsidRDefault="000302D9" w:rsidP="000302D9">
      <w:pPr>
        <w:spacing w:after="0"/>
        <w:rPr>
          <w:rFonts w:ascii="Arial" w:hAnsi="Arial" w:cs="Arial"/>
          <w:sz w:val="24"/>
          <w:szCs w:val="24"/>
        </w:rPr>
      </w:pPr>
      <w:r w:rsidRPr="00A11A7D">
        <w:rPr>
          <w:rFonts w:ascii="Arial" w:hAnsi="Arial" w:cs="Arial"/>
          <w:sz w:val="24"/>
          <w:szCs w:val="24"/>
        </w:rPr>
        <w:t>Low Rise</w:t>
      </w:r>
      <w:r w:rsidRPr="00A11A7D">
        <w:rPr>
          <w:rFonts w:ascii="Arial" w:hAnsi="Arial" w:cs="Arial"/>
          <w:sz w:val="24"/>
          <w:szCs w:val="24"/>
        </w:rPr>
        <w:tab/>
      </w:r>
      <w:r w:rsidR="000976F3" w:rsidRPr="00A11A7D">
        <w:rPr>
          <w:rFonts w:ascii="Arial" w:hAnsi="Arial" w:cs="Arial"/>
          <w:sz w:val="24"/>
          <w:szCs w:val="24"/>
        </w:rPr>
        <w:t>1</w:t>
      </w:r>
    </w:p>
    <w:p w:rsidR="000976F3" w:rsidRPr="00A11A7D" w:rsidRDefault="000302D9" w:rsidP="000302D9">
      <w:pPr>
        <w:spacing w:after="0"/>
        <w:rPr>
          <w:rFonts w:ascii="Arial" w:hAnsi="Arial" w:cs="Arial"/>
          <w:sz w:val="24"/>
          <w:szCs w:val="24"/>
        </w:rPr>
      </w:pPr>
      <w:r w:rsidRPr="00A11A7D">
        <w:rPr>
          <w:rFonts w:ascii="Arial" w:hAnsi="Arial" w:cs="Arial"/>
          <w:sz w:val="24"/>
          <w:szCs w:val="24"/>
        </w:rPr>
        <w:t>Not sure</w:t>
      </w:r>
      <w:r w:rsidR="000976F3" w:rsidRPr="00A11A7D">
        <w:rPr>
          <w:rFonts w:ascii="Arial" w:hAnsi="Arial" w:cs="Arial"/>
          <w:sz w:val="24"/>
          <w:szCs w:val="24"/>
        </w:rPr>
        <w:tab/>
        <w:t>0</w:t>
      </w:r>
      <w:r w:rsidR="000976F3" w:rsidRPr="00A11A7D">
        <w:rPr>
          <w:rFonts w:ascii="Arial" w:hAnsi="Arial" w:cs="Arial"/>
          <w:sz w:val="24"/>
          <w:szCs w:val="24"/>
        </w:rPr>
        <w:tab/>
      </w:r>
    </w:p>
    <w:p w:rsidR="000302D9" w:rsidRPr="00A11A7D" w:rsidRDefault="000302D9" w:rsidP="000302D9">
      <w:pPr>
        <w:spacing w:after="0"/>
        <w:rPr>
          <w:rFonts w:ascii="Arial" w:hAnsi="Arial" w:cs="Arial"/>
          <w:sz w:val="24"/>
          <w:szCs w:val="24"/>
        </w:rPr>
      </w:pPr>
    </w:p>
    <w:p w:rsidR="000302D9" w:rsidRPr="00A11A7D" w:rsidRDefault="000976F3" w:rsidP="00A11A7D">
      <w:pPr>
        <w:pStyle w:val="Heading3"/>
        <w:rPr>
          <w:rFonts w:ascii="Arial" w:hAnsi="Arial" w:cs="Arial"/>
          <w:b/>
          <w:color w:val="auto"/>
        </w:rPr>
      </w:pPr>
      <w:r w:rsidRPr="00A11A7D">
        <w:rPr>
          <w:rFonts w:ascii="Arial" w:hAnsi="Arial" w:cs="Arial"/>
          <w:b/>
          <w:color w:val="auto"/>
        </w:rPr>
        <w:t>On-line form -</w:t>
      </w:r>
      <w:r w:rsidR="00A11A7D" w:rsidRPr="00A11A7D">
        <w:rPr>
          <w:rFonts w:ascii="Arial" w:hAnsi="Arial" w:cs="Arial"/>
          <w:b/>
          <w:color w:val="auto"/>
        </w:rPr>
        <w:t xml:space="preserve"> </w:t>
      </w:r>
      <w:r w:rsidRPr="00A11A7D">
        <w:rPr>
          <w:rFonts w:ascii="Arial" w:hAnsi="Arial" w:cs="Arial"/>
          <w:b/>
          <w:color w:val="auto"/>
        </w:rPr>
        <w:t xml:space="preserve">E </w:t>
      </w:r>
      <w:r w:rsidRPr="00A11A7D">
        <w:rPr>
          <w:rFonts w:ascii="Arial" w:hAnsi="Arial" w:cs="Arial"/>
          <w:b/>
          <w:color w:val="auto"/>
        </w:rPr>
        <w:tab/>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Tower Block </w:t>
      </w:r>
      <w:r w:rsidRPr="00A11A7D">
        <w:rPr>
          <w:rFonts w:ascii="Arial" w:hAnsi="Arial" w:cs="Arial"/>
          <w:sz w:val="24"/>
          <w:szCs w:val="24"/>
        </w:rPr>
        <w:tab/>
      </w:r>
      <w:r w:rsidR="000976F3" w:rsidRPr="00A11A7D">
        <w:rPr>
          <w:rFonts w:ascii="Arial" w:hAnsi="Arial" w:cs="Arial"/>
          <w:sz w:val="24"/>
          <w:szCs w:val="24"/>
        </w:rPr>
        <w:t>0</w:t>
      </w:r>
    </w:p>
    <w:p w:rsidR="000302D9" w:rsidRPr="00A11A7D" w:rsidRDefault="000302D9" w:rsidP="000302D9">
      <w:pPr>
        <w:spacing w:after="0"/>
        <w:rPr>
          <w:rFonts w:ascii="Arial" w:hAnsi="Arial" w:cs="Arial"/>
          <w:sz w:val="24"/>
          <w:szCs w:val="24"/>
        </w:rPr>
      </w:pPr>
      <w:r w:rsidRPr="00A11A7D">
        <w:rPr>
          <w:rFonts w:ascii="Arial" w:hAnsi="Arial" w:cs="Arial"/>
          <w:sz w:val="24"/>
          <w:szCs w:val="24"/>
        </w:rPr>
        <w:t>Low Rise</w:t>
      </w:r>
      <w:r w:rsidR="000976F3" w:rsidRPr="00A11A7D">
        <w:rPr>
          <w:rFonts w:ascii="Arial" w:hAnsi="Arial" w:cs="Arial"/>
          <w:sz w:val="24"/>
          <w:szCs w:val="24"/>
        </w:rPr>
        <w:tab/>
        <w:t>2</w:t>
      </w:r>
    </w:p>
    <w:p w:rsidR="000976F3" w:rsidRPr="00A11A7D" w:rsidRDefault="000302D9" w:rsidP="000302D9">
      <w:pPr>
        <w:spacing w:after="0"/>
        <w:rPr>
          <w:rFonts w:ascii="Arial" w:hAnsi="Arial" w:cs="Arial"/>
          <w:sz w:val="24"/>
          <w:szCs w:val="24"/>
        </w:rPr>
      </w:pPr>
      <w:r w:rsidRPr="00A11A7D">
        <w:rPr>
          <w:rFonts w:ascii="Arial" w:hAnsi="Arial" w:cs="Arial"/>
          <w:sz w:val="24"/>
          <w:szCs w:val="24"/>
        </w:rPr>
        <w:t>Not sure</w:t>
      </w:r>
      <w:r w:rsidR="000976F3" w:rsidRPr="00A11A7D">
        <w:rPr>
          <w:rFonts w:ascii="Arial" w:hAnsi="Arial" w:cs="Arial"/>
          <w:sz w:val="24"/>
          <w:szCs w:val="24"/>
        </w:rPr>
        <w:tab/>
        <w:t>1</w:t>
      </w:r>
      <w:r w:rsidR="000976F3" w:rsidRPr="00A11A7D">
        <w:rPr>
          <w:rFonts w:ascii="Arial" w:hAnsi="Arial" w:cs="Arial"/>
          <w:sz w:val="24"/>
          <w:szCs w:val="24"/>
        </w:rPr>
        <w:tab/>
      </w:r>
    </w:p>
    <w:p w:rsidR="000302D9" w:rsidRPr="00A11A7D" w:rsidRDefault="000302D9" w:rsidP="000302D9">
      <w:pPr>
        <w:spacing w:after="0"/>
        <w:rPr>
          <w:rFonts w:ascii="Arial" w:hAnsi="Arial" w:cs="Arial"/>
          <w:sz w:val="24"/>
          <w:szCs w:val="24"/>
        </w:rPr>
      </w:pPr>
    </w:p>
    <w:p w:rsidR="000302D9" w:rsidRPr="00A11A7D" w:rsidRDefault="000302D9" w:rsidP="00A11A7D">
      <w:pPr>
        <w:pStyle w:val="Heading3"/>
        <w:rPr>
          <w:rFonts w:ascii="Arial" w:hAnsi="Arial" w:cs="Arial"/>
          <w:b/>
          <w:color w:val="auto"/>
        </w:rPr>
      </w:pPr>
      <w:r w:rsidRPr="00A11A7D">
        <w:rPr>
          <w:rFonts w:ascii="Arial" w:hAnsi="Arial" w:cs="Arial"/>
          <w:b/>
          <w:color w:val="auto"/>
        </w:rPr>
        <w:t>Totals</w:t>
      </w:r>
      <w:r w:rsidR="00A11A7D" w:rsidRPr="00A11A7D">
        <w:rPr>
          <w:rFonts w:ascii="Arial" w:hAnsi="Arial" w:cs="Arial"/>
          <w:b/>
          <w:color w:val="auto"/>
        </w:rPr>
        <w:t xml:space="preserve"> for E</w:t>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Tower Block </w:t>
      </w:r>
      <w:r w:rsidR="000976F3" w:rsidRPr="00A11A7D">
        <w:rPr>
          <w:rFonts w:ascii="Arial" w:hAnsi="Arial" w:cs="Arial"/>
          <w:sz w:val="24"/>
          <w:szCs w:val="24"/>
        </w:rPr>
        <w:tab/>
        <w:t>14</w:t>
      </w:r>
    </w:p>
    <w:p w:rsidR="000302D9" w:rsidRPr="00A11A7D" w:rsidRDefault="000302D9" w:rsidP="000302D9">
      <w:pPr>
        <w:spacing w:after="0"/>
        <w:rPr>
          <w:rFonts w:ascii="Arial" w:hAnsi="Arial" w:cs="Arial"/>
          <w:sz w:val="24"/>
          <w:szCs w:val="24"/>
        </w:rPr>
      </w:pPr>
      <w:r w:rsidRPr="00A11A7D">
        <w:rPr>
          <w:rFonts w:ascii="Arial" w:hAnsi="Arial" w:cs="Arial"/>
          <w:sz w:val="24"/>
          <w:szCs w:val="24"/>
        </w:rPr>
        <w:t>Low Rise</w:t>
      </w:r>
      <w:r w:rsidR="000976F3" w:rsidRPr="00A11A7D">
        <w:rPr>
          <w:rFonts w:ascii="Arial" w:hAnsi="Arial" w:cs="Arial"/>
          <w:sz w:val="24"/>
          <w:szCs w:val="24"/>
        </w:rPr>
        <w:tab/>
        <w:t>23</w:t>
      </w:r>
    </w:p>
    <w:p w:rsidR="000302D9" w:rsidRPr="00A11A7D" w:rsidRDefault="000302D9" w:rsidP="000302D9">
      <w:pPr>
        <w:spacing w:after="0"/>
        <w:rPr>
          <w:rFonts w:ascii="Arial" w:hAnsi="Arial" w:cs="Arial"/>
          <w:sz w:val="24"/>
          <w:szCs w:val="24"/>
        </w:rPr>
      </w:pPr>
      <w:r w:rsidRPr="00A11A7D">
        <w:rPr>
          <w:rFonts w:ascii="Arial" w:hAnsi="Arial" w:cs="Arial"/>
          <w:sz w:val="24"/>
          <w:szCs w:val="24"/>
        </w:rPr>
        <w:t xml:space="preserve">Not sure </w:t>
      </w:r>
      <w:r w:rsidR="000976F3" w:rsidRPr="00A11A7D">
        <w:rPr>
          <w:rFonts w:ascii="Arial" w:hAnsi="Arial" w:cs="Arial"/>
          <w:sz w:val="24"/>
          <w:szCs w:val="24"/>
        </w:rPr>
        <w:tab/>
        <w:t>1</w:t>
      </w:r>
    </w:p>
    <w:p w:rsidR="00A11A7D" w:rsidRPr="00A11A7D" w:rsidRDefault="00A11A7D" w:rsidP="000302D9">
      <w:pPr>
        <w:rPr>
          <w:rFonts w:ascii="Arial" w:hAnsi="Arial" w:cs="Arial"/>
          <w:sz w:val="24"/>
          <w:szCs w:val="24"/>
        </w:rPr>
      </w:pPr>
    </w:p>
    <w:p w:rsidR="000302D9" w:rsidRPr="00A11A7D" w:rsidRDefault="000302D9" w:rsidP="00A11A7D">
      <w:pPr>
        <w:pStyle w:val="Heading2"/>
        <w:rPr>
          <w:rFonts w:ascii="Arial" w:hAnsi="Arial" w:cs="Arial"/>
          <w:b/>
          <w:color w:val="auto"/>
          <w:sz w:val="24"/>
          <w:szCs w:val="24"/>
        </w:rPr>
      </w:pPr>
      <w:r w:rsidRPr="00A11A7D">
        <w:rPr>
          <w:rFonts w:ascii="Arial" w:hAnsi="Arial" w:cs="Arial"/>
          <w:b/>
          <w:color w:val="auto"/>
          <w:sz w:val="24"/>
          <w:szCs w:val="24"/>
        </w:rPr>
        <w:t>Brent Council’s Decision and Next Steps</w:t>
      </w:r>
    </w:p>
    <w:p w:rsidR="00A11A7D" w:rsidRDefault="00A11A7D" w:rsidP="000302D9">
      <w:pPr>
        <w:rPr>
          <w:rFonts w:ascii="Arial" w:hAnsi="Arial" w:cs="Arial"/>
          <w:sz w:val="24"/>
          <w:szCs w:val="24"/>
        </w:rPr>
      </w:pPr>
    </w:p>
    <w:p w:rsidR="000302D9" w:rsidRPr="00A11A7D" w:rsidRDefault="000302D9" w:rsidP="000302D9">
      <w:pPr>
        <w:rPr>
          <w:rFonts w:ascii="Arial" w:hAnsi="Arial" w:cs="Arial"/>
          <w:sz w:val="24"/>
          <w:szCs w:val="24"/>
        </w:rPr>
      </w:pPr>
      <w:r w:rsidRPr="00A11A7D">
        <w:rPr>
          <w:rFonts w:ascii="Arial" w:hAnsi="Arial" w:cs="Arial"/>
          <w:sz w:val="24"/>
          <w:szCs w:val="24"/>
        </w:rPr>
        <w:t xml:space="preserve">The majority of Kilburn Square residents, who provided feedback, expressed a </w:t>
      </w:r>
      <w:proofErr w:type="gramStart"/>
      <w:r w:rsidRPr="00A11A7D">
        <w:rPr>
          <w:rFonts w:ascii="Arial" w:hAnsi="Arial" w:cs="Arial"/>
          <w:sz w:val="24"/>
          <w:szCs w:val="24"/>
        </w:rPr>
        <w:t>preference</w:t>
      </w:r>
      <w:proofErr w:type="gramEnd"/>
      <w:r w:rsidRPr="00A11A7D">
        <w:rPr>
          <w:rFonts w:ascii="Arial" w:hAnsi="Arial" w:cs="Arial"/>
          <w:sz w:val="24"/>
          <w:szCs w:val="24"/>
        </w:rPr>
        <w:t xml:space="preserve"> for option E: 38 households stated they preferred option E and 26 households advised that they preferred option A.  </w:t>
      </w:r>
    </w:p>
    <w:p w:rsidR="000302D9" w:rsidRPr="00A11A7D" w:rsidRDefault="000302D9" w:rsidP="000302D9">
      <w:pPr>
        <w:rPr>
          <w:rFonts w:ascii="Arial" w:hAnsi="Arial" w:cs="Arial"/>
          <w:sz w:val="24"/>
          <w:szCs w:val="24"/>
        </w:rPr>
      </w:pPr>
      <w:r w:rsidRPr="00A11A7D">
        <w:rPr>
          <w:rFonts w:ascii="Arial" w:hAnsi="Arial" w:cs="Arial"/>
          <w:sz w:val="24"/>
          <w:szCs w:val="24"/>
        </w:rPr>
        <w:t xml:space="preserve">Brent Council has listened to your feedback, taken advice from our architects and planners, and considered the Planning Inspectors report issued on 17th January 2022. </w:t>
      </w:r>
    </w:p>
    <w:p w:rsidR="000302D9" w:rsidRPr="00A11A7D" w:rsidRDefault="000302D9" w:rsidP="000302D9">
      <w:pPr>
        <w:rPr>
          <w:rFonts w:ascii="Arial" w:hAnsi="Arial" w:cs="Arial"/>
          <w:sz w:val="24"/>
          <w:szCs w:val="24"/>
        </w:rPr>
      </w:pPr>
      <w:r w:rsidRPr="00A11A7D">
        <w:rPr>
          <w:rFonts w:ascii="Arial" w:hAnsi="Arial" w:cs="Arial"/>
          <w:sz w:val="24"/>
          <w:szCs w:val="24"/>
        </w:rPr>
        <w:t xml:space="preserve">The GLA guidance on tall buildings, states developments must be in compliance with the London Plan Tall Buildings Policy and London Boroughs are required to determine the locations where tall buildings may be an appropriate form of </w:t>
      </w:r>
      <w:r w:rsidRPr="00A11A7D">
        <w:rPr>
          <w:rFonts w:ascii="Arial" w:hAnsi="Arial" w:cs="Arial"/>
          <w:sz w:val="24"/>
          <w:szCs w:val="24"/>
        </w:rPr>
        <w:lastRenderedPageBreak/>
        <w:t>development and any such locations and heights should be identified in Development Plans.</w:t>
      </w:r>
    </w:p>
    <w:p w:rsidR="000302D9" w:rsidRPr="00A11A7D" w:rsidRDefault="000302D9" w:rsidP="000302D9">
      <w:pPr>
        <w:rPr>
          <w:rFonts w:ascii="Arial" w:hAnsi="Arial" w:cs="Arial"/>
          <w:sz w:val="24"/>
          <w:szCs w:val="24"/>
        </w:rPr>
      </w:pPr>
      <w:r w:rsidRPr="00A11A7D">
        <w:rPr>
          <w:rFonts w:ascii="Arial" w:hAnsi="Arial" w:cs="Arial"/>
          <w:sz w:val="24"/>
          <w:szCs w:val="24"/>
        </w:rPr>
        <w:t xml:space="preserve">During the preparation of the Local Plan the Council put forward a new tall buildings zone at Kilburn Square which included the existing tower and adjacent land around Kilburn Square (13-15 </w:t>
      </w:r>
      <w:proofErr w:type="spellStart"/>
      <w:r w:rsidRPr="00A11A7D">
        <w:rPr>
          <w:rFonts w:ascii="Arial" w:hAnsi="Arial" w:cs="Arial"/>
          <w:sz w:val="24"/>
          <w:szCs w:val="24"/>
        </w:rPr>
        <w:t>Brondesbury</w:t>
      </w:r>
      <w:proofErr w:type="spellEnd"/>
      <w:r w:rsidRPr="00A11A7D">
        <w:rPr>
          <w:rFonts w:ascii="Arial" w:hAnsi="Arial" w:cs="Arial"/>
          <w:sz w:val="24"/>
          <w:szCs w:val="24"/>
        </w:rPr>
        <w:t xml:space="preserve"> Road and the former Kilburn Square Clinic). The proposed tall buildings zone was for buildings up to 51 metres in height.  Following this the Planning Inspector, in their report issued on 17th January 2022, advised that they were unable to recommend Kilburn Square as a tall buildings zone in the new Local Plan. </w:t>
      </w:r>
    </w:p>
    <w:p w:rsidR="000302D9" w:rsidRPr="00A11A7D" w:rsidRDefault="000302D9" w:rsidP="000302D9">
      <w:pPr>
        <w:rPr>
          <w:rFonts w:ascii="Arial" w:hAnsi="Arial" w:cs="Arial"/>
          <w:sz w:val="24"/>
          <w:szCs w:val="24"/>
        </w:rPr>
      </w:pPr>
      <w:r w:rsidRPr="00A11A7D">
        <w:rPr>
          <w:rFonts w:ascii="Arial" w:hAnsi="Arial" w:cs="Arial"/>
          <w:sz w:val="24"/>
          <w:szCs w:val="24"/>
        </w:rPr>
        <w:t>Considering all these factors, the Council has concluded that option A will be taken forward into the planning process. Option A reduces the tower from 17 storeys to 10 and the amount of green space maintained is in line with the original proposal. Your feedback has made clear how much you value green space, and the Council will be reviewing how to improve and make best use of the available amenity space.</w:t>
      </w:r>
    </w:p>
    <w:p w:rsidR="000302D9" w:rsidRPr="00A11A7D" w:rsidRDefault="000302D9" w:rsidP="000302D9">
      <w:pPr>
        <w:rPr>
          <w:rFonts w:ascii="Arial" w:hAnsi="Arial" w:cs="Arial"/>
          <w:sz w:val="24"/>
          <w:szCs w:val="24"/>
        </w:rPr>
      </w:pPr>
      <w:r w:rsidRPr="00A11A7D">
        <w:rPr>
          <w:rFonts w:ascii="Arial" w:hAnsi="Arial" w:cs="Arial"/>
          <w:sz w:val="24"/>
          <w:szCs w:val="24"/>
        </w:rPr>
        <w:t xml:space="preserve">Over the next few months, work to further develop option A will take place but we will continue to engage with Kilburn Square residents and stakeholders via our regular newsletters and our market stall drop-ins.  We will keep you updated as the design develops. We will also invite residents and stakeholders to a final exhibition on the new build proposals before we submit the planning application, and we will confirm dates and location in a future newsletter.  </w:t>
      </w:r>
    </w:p>
    <w:p w:rsidR="000302D9" w:rsidRPr="00A11A7D" w:rsidRDefault="000302D9" w:rsidP="00A11A7D">
      <w:pPr>
        <w:pStyle w:val="Heading2"/>
        <w:rPr>
          <w:rFonts w:ascii="Arial" w:hAnsi="Arial" w:cs="Arial"/>
          <w:b/>
          <w:color w:val="auto"/>
          <w:sz w:val="24"/>
          <w:szCs w:val="24"/>
        </w:rPr>
      </w:pPr>
      <w:r w:rsidRPr="00A11A7D">
        <w:rPr>
          <w:rFonts w:ascii="Arial" w:hAnsi="Arial" w:cs="Arial"/>
          <w:b/>
          <w:color w:val="auto"/>
          <w:sz w:val="24"/>
          <w:szCs w:val="24"/>
        </w:rPr>
        <w:t xml:space="preserve">Winners! </w:t>
      </w:r>
    </w:p>
    <w:p w:rsidR="000302D9" w:rsidRPr="00A11A7D" w:rsidRDefault="000302D9" w:rsidP="000302D9">
      <w:pPr>
        <w:rPr>
          <w:rFonts w:ascii="Arial" w:hAnsi="Arial" w:cs="Arial"/>
          <w:sz w:val="24"/>
          <w:szCs w:val="24"/>
        </w:rPr>
      </w:pPr>
      <w:r w:rsidRPr="00A11A7D">
        <w:rPr>
          <w:rFonts w:ascii="Arial" w:hAnsi="Arial" w:cs="Arial"/>
          <w:sz w:val="24"/>
          <w:szCs w:val="24"/>
        </w:rPr>
        <w:t>If you gave us your views by talking to us on the doorstep, visiting a drop-in session or contacting us by email or phone you wer</w:t>
      </w:r>
      <w:r w:rsidRPr="00A11A7D">
        <w:rPr>
          <w:rFonts w:ascii="Arial" w:hAnsi="Arial" w:cs="Arial"/>
          <w:sz w:val="24"/>
          <w:szCs w:val="24"/>
        </w:rPr>
        <w:t xml:space="preserve">e entered into the prize draw. </w:t>
      </w:r>
    </w:p>
    <w:p w:rsidR="000302D9" w:rsidRPr="00A11A7D" w:rsidRDefault="000302D9" w:rsidP="000302D9">
      <w:pPr>
        <w:rPr>
          <w:rFonts w:ascii="Arial" w:hAnsi="Arial" w:cs="Arial"/>
          <w:sz w:val="24"/>
          <w:szCs w:val="24"/>
        </w:rPr>
      </w:pPr>
      <w:r w:rsidRPr="00A11A7D">
        <w:rPr>
          <w:rFonts w:ascii="Arial" w:hAnsi="Arial" w:cs="Arial"/>
          <w:sz w:val="24"/>
          <w:szCs w:val="24"/>
        </w:rPr>
        <w:t xml:space="preserve">The two lucky winners of the prize drawer have now been contacted and will each receive a £50 voucher for the outlet of their choice. One winner lives in Kilburn Square and the other lives in Varley House. </w:t>
      </w:r>
    </w:p>
    <w:p w:rsidR="000976F3" w:rsidRDefault="000976F3" w:rsidP="000976F3">
      <w:r>
        <w:tab/>
      </w:r>
    </w:p>
    <w:sectPr w:rsidR="00097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F3"/>
    <w:rsid w:val="000302D9"/>
    <w:rsid w:val="000976F3"/>
    <w:rsid w:val="005D27E2"/>
    <w:rsid w:val="00A11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1579"/>
  <w15:chartTrackingRefBased/>
  <w15:docId w15:val="{1B3FF93D-6437-4587-AB4E-FB655810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0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02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02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02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02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Louis</dc:creator>
  <cp:keywords/>
  <dc:description/>
  <cp:lastModifiedBy>High, Louis</cp:lastModifiedBy>
  <cp:revision>1</cp:revision>
  <dcterms:created xsi:type="dcterms:W3CDTF">2022-02-28T10:51:00Z</dcterms:created>
  <dcterms:modified xsi:type="dcterms:W3CDTF">2022-02-28T11:18:00Z</dcterms:modified>
</cp:coreProperties>
</file>